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63567" w14:textId="5EE9D1FB" w:rsidR="00BA23EC" w:rsidRDefault="00E256A8" w:rsidP="00E256A8">
      <w:pPr>
        <w:pStyle w:val="PlainText"/>
        <w:jc w:val="center"/>
        <w:rPr>
          <w:b/>
        </w:rPr>
      </w:pPr>
      <w:r w:rsidRPr="00E256A8">
        <w:rPr>
          <w:b/>
        </w:rPr>
        <w:t>HIV</w:t>
      </w:r>
      <w:r w:rsidR="00EE06C1">
        <w:rPr>
          <w:b/>
        </w:rPr>
        <w:t>+ to HIV</w:t>
      </w:r>
      <w:r w:rsidR="00570240">
        <w:rPr>
          <w:b/>
        </w:rPr>
        <w:t xml:space="preserve">+ Transplant </w:t>
      </w:r>
      <w:proofErr w:type="gramStart"/>
      <w:r w:rsidR="00BA23EC">
        <w:rPr>
          <w:b/>
        </w:rPr>
        <w:t>Under</w:t>
      </w:r>
      <w:proofErr w:type="gramEnd"/>
      <w:r w:rsidR="00BA23EC">
        <w:rPr>
          <w:b/>
        </w:rPr>
        <w:t xml:space="preserve"> the HOPE Act</w:t>
      </w:r>
    </w:p>
    <w:p w14:paraId="455217D4" w14:textId="4B296BAA" w:rsidR="00E256A8" w:rsidRDefault="000E4B61" w:rsidP="00E256A8">
      <w:pPr>
        <w:pStyle w:val="PlainText"/>
        <w:jc w:val="center"/>
        <w:rPr>
          <w:b/>
        </w:rPr>
      </w:pPr>
      <w:r>
        <w:rPr>
          <w:b/>
        </w:rPr>
        <w:t xml:space="preserve">Checklist for </w:t>
      </w:r>
      <w:r w:rsidR="00EE06C1">
        <w:rPr>
          <w:b/>
        </w:rPr>
        <w:t xml:space="preserve">Investigators and </w:t>
      </w:r>
      <w:r>
        <w:rPr>
          <w:b/>
        </w:rPr>
        <w:t>IRB Review</w:t>
      </w:r>
    </w:p>
    <w:p w14:paraId="7968EE9D" w14:textId="77777777" w:rsidR="00E256A8" w:rsidRPr="00E256A8" w:rsidRDefault="00E256A8" w:rsidP="00E256A8">
      <w:pPr>
        <w:pStyle w:val="PlainText"/>
        <w:jc w:val="center"/>
        <w:rPr>
          <w:b/>
        </w:rPr>
      </w:pPr>
    </w:p>
    <w:tbl>
      <w:tblPr>
        <w:tblStyle w:val="TableGrid"/>
        <w:tblW w:w="10795" w:type="dxa"/>
        <w:tblLook w:val="04A0" w:firstRow="1" w:lastRow="0" w:firstColumn="1" w:lastColumn="0" w:noHBand="0" w:noVBand="1"/>
      </w:tblPr>
      <w:tblGrid>
        <w:gridCol w:w="444"/>
        <w:gridCol w:w="545"/>
        <w:gridCol w:w="9806"/>
      </w:tblGrid>
      <w:tr w:rsidR="00E256A8" w:rsidRPr="00E256A8" w14:paraId="7D373676" w14:textId="77777777" w:rsidTr="00DC1257">
        <w:tc>
          <w:tcPr>
            <w:tcW w:w="444" w:type="dxa"/>
          </w:tcPr>
          <w:p w14:paraId="4996EBA1" w14:textId="77777777" w:rsidR="00E256A8" w:rsidRPr="00E256A8" w:rsidRDefault="00E256A8" w:rsidP="00E256A8">
            <w:pPr>
              <w:pStyle w:val="PlainText"/>
              <w:rPr>
                <w:b/>
              </w:rPr>
            </w:pPr>
            <w:r w:rsidRPr="00E256A8">
              <w:rPr>
                <w:b/>
              </w:rPr>
              <w:t>1.</w:t>
            </w:r>
          </w:p>
        </w:tc>
        <w:tc>
          <w:tcPr>
            <w:tcW w:w="10351" w:type="dxa"/>
            <w:gridSpan w:val="2"/>
          </w:tcPr>
          <w:p w14:paraId="3DDA5D39" w14:textId="77777777" w:rsidR="00E256A8" w:rsidRPr="00E256A8" w:rsidRDefault="00E256A8" w:rsidP="00E256A8">
            <w:pPr>
              <w:pStyle w:val="PlainText"/>
              <w:rPr>
                <w:b/>
              </w:rPr>
            </w:pPr>
            <w:r w:rsidRPr="00E256A8">
              <w:rPr>
                <w:b/>
              </w:rPr>
              <w:t>Check the type of transplant:</w:t>
            </w:r>
          </w:p>
        </w:tc>
      </w:tr>
      <w:tr w:rsidR="00E256A8" w14:paraId="541EFB70" w14:textId="77777777" w:rsidTr="00DC1257">
        <w:tc>
          <w:tcPr>
            <w:tcW w:w="444" w:type="dxa"/>
          </w:tcPr>
          <w:p w14:paraId="4A313624" w14:textId="77777777" w:rsidR="00E256A8" w:rsidRDefault="00E256A8" w:rsidP="00E256A8">
            <w:pPr>
              <w:pStyle w:val="PlainText"/>
              <w:rPr>
                <w:b/>
              </w:rPr>
            </w:pPr>
          </w:p>
        </w:tc>
        <w:tc>
          <w:tcPr>
            <w:tcW w:w="10351" w:type="dxa"/>
            <w:gridSpan w:val="2"/>
          </w:tcPr>
          <w:p w14:paraId="5CF6E4DC" w14:textId="77777777" w:rsidR="00B17270" w:rsidRPr="00BA23EC" w:rsidRDefault="00B17270" w:rsidP="00E256A8">
            <w:pPr>
              <w:pStyle w:val="PlainText"/>
              <w:rPr>
                <w:b/>
              </w:rPr>
            </w:pPr>
          </w:p>
          <w:p w14:paraId="06B6A757" w14:textId="77777777" w:rsidR="00B17270" w:rsidRPr="00BA23EC" w:rsidRDefault="00E256A8" w:rsidP="00E256A8">
            <w:pPr>
              <w:pStyle w:val="PlainText"/>
              <w:rPr>
                <w:b/>
              </w:rPr>
            </w:pPr>
            <w:r w:rsidRPr="00BA23EC">
              <w:rPr>
                <w:b/>
              </w:rPr>
              <w:t>_</w:t>
            </w:r>
            <w:r w:rsidR="00B17270" w:rsidRPr="00BA23EC">
              <w:rPr>
                <w:b/>
              </w:rPr>
              <w:t>__</w:t>
            </w:r>
            <w:r w:rsidRPr="00BA23EC">
              <w:rPr>
                <w:b/>
              </w:rPr>
              <w:t xml:space="preserve"> Kidney</w:t>
            </w:r>
          </w:p>
          <w:p w14:paraId="283E58CC" w14:textId="77777777" w:rsidR="00E256A8" w:rsidRPr="00BA23EC" w:rsidRDefault="00E256A8" w:rsidP="00E256A8">
            <w:pPr>
              <w:pStyle w:val="PlainText"/>
              <w:rPr>
                <w:b/>
              </w:rPr>
            </w:pPr>
            <w:r w:rsidRPr="00BA23EC">
              <w:rPr>
                <w:b/>
              </w:rPr>
              <w:br/>
              <w:t>_</w:t>
            </w:r>
            <w:r w:rsidR="00B17270" w:rsidRPr="00BA23EC">
              <w:rPr>
                <w:b/>
              </w:rPr>
              <w:t>__</w:t>
            </w:r>
            <w:r w:rsidRPr="00BA23EC">
              <w:rPr>
                <w:b/>
              </w:rPr>
              <w:t xml:space="preserve"> Liver</w:t>
            </w:r>
          </w:p>
          <w:p w14:paraId="7AE159AE" w14:textId="77777777" w:rsidR="00B17270" w:rsidRPr="00BA23EC" w:rsidRDefault="00B17270" w:rsidP="00E256A8">
            <w:pPr>
              <w:pStyle w:val="PlainText"/>
              <w:rPr>
                <w:b/>
              </w:rPr>
            </w:pPr>
          </w:p>
          <w:p w14:paraId="48D43AC5" w14:textId="2F4CAE5C" w:rsidR="00570240" w:rsidRPr="00BA23EC" w:rsidRDefault="00E256A8" w:rsidP="005B6C3E">
            <w:pPr>
              <w:pStyle w:val="PlainText"/>
              <w:rPr>
                <w:b/>
              </w:rPr>
            </w:pPr>
            <w:r w:rsidRPr="00BA23EC">
              <w:rPr>
                <w:b/>
              </w:rPr>
              <w:t>_</w:t>
            </w:r>
            <w:r w:rsidR="00B17270" w:rsidRPr="00BA23EC">
              <w:rPr>
                <w:b/>
              </w:rPr>
              <w:t>__</w:t>
            </w:r>
            <w:r w:rsidRPr="00BA23EC">
              <w:rPr>
                <w:b/>
              </w:rPr>
              <w:t xml:space="preserve"> Other (</w:t>
            </w:r>
            <w:r w:rsidR="00A60893" w:rsidRPr="00BA23EC">
              <w:rPr>
                <w:b/>
              </w:rPr>
              <w:t xml:space="preserve">If other, </w:t>
            </w:r>
            <w:r w:rsidRPr="00BA23EC">
              <w:rPr>
                <w:b/>
                <w:u w:val="single"/>
              </w:rPr>
              <w:t>describe</w:t>
            </w:r>
            <w:r w:rsidR="00B0642D" w:rsidRPr="00BA23EC">
              <w:rPr>
                <w:b/>
                <w:u w:val="single"/>
              </w:rPr>
              <w:t xml:space="preserve"> below</w:t>
            </w:r>
            <w:r w:rsidRPr="00BA23EC">
              <w:rPr>
                <w:b/>
              </w:rPr>
              <w:t xml:space="preserve">, and include in </w:t>
            </w:r>
            <w:r w:rsidR="00A60893" w:rsidRPr="00BA23EC">
              <w:rPr>
                <w:b/>
              </w:rPr>
              <w:t xml:space="preserve">the </w:t>
            </w:r>
            <w:r w:rsidRPr="00BA23EC">
              <w:rPr>
                <w:b/>
              </w:rPr>
              <w:t>protocol justification for this transplantation based on relevant experience of the study team or others)</w:t>
            </w:r>
            <w:r w:rsidR="00570240" w:rsidRPr="00BA23EC">
              <w:rPr>
                <w:b/>
              </w:rPr>
              <w:t>:</w:t>
            </w:r>
          </w:p>
          <w:p w14:paraId="4FB355A2" w14:textId="77777777" w:rsidR="00B0642D" w:rsidRPr="00BA23EC" w:rsidRDefault="00B0642D" w:rsidP="005B6C3E">
            <w:pPr>
              <w:pStyle w:val="PlainText"/>
              <w:rPr>
                <w:b/>
              </w:rPr>
            </w:pPr>
          </w:p>
          <w:p w14:paraId="2DE91745" w14:textId="77777777" w:rsidR="00B0642D" w:rsidRPr="00BA23EC" w:rsidRDefault="00B0642D" w:rsidP="005B6C3E">
            <w:pPr>
              <w:pStyle w:val="PlainText"/>
              <w:rPr>
                <w:b/>
              </w:rPr>
            </w:pPr>
          </w:p>
          <w:p w14:paraId="622E8FBA" w14:textId="77777777" w:rsidR="00B0642D" w:rsidRPr="00BA23EC" w:rsidRDefault="00B0642D" w:rsidP="005B6C3E">
            <w:pPr>
              <w:pStyle w:val="PlainText"/>
              <w:rPr>
                <w:b/>
              </w:rPr>
            </w:pPr>
          </w:p>
          <w:p w14:paraId="0534C2BA" w14:textId="77777777" w:rsidR="00E256A8" w:rsidRPr="00BA23EC" w:rsidRDefault="00E256A8" w:rsidP="00E256A8">
            <w:pPr>
              <w:pStyle w:val="PlainText"/>
              <w:rPr>
                <w:b/>
              </w:rPr>
            </w:pPr>
          </w:p>
        </w:tc>
      </w:tr>
      <w:tr w:rsidR="00570240" w14:paraId="7DC815C7" w14:textId="77777777" w:rsidTr="00DC1257">
        <w:tc>
          <w:tcPr>
            <w:tcW w:w="444" w:type="dxa"/>
          </w:tcPr>
          <w:p w14:paraId="43A0D56C" w14:textId="10DF80EB" w:rsidR="00570240" w:rsidRPr="00E256A8" w:rsidRDefault="00570240" w:rsidP="00E256A8">
            <w:pPr>
              <w:pStyle w:val="PlainText"/>
              <w:rPr>
                <w:b/>
              </w:rPr>
            </w:pPr>
            <w:r w:rsidRPr="00E256A8">
              <w:rPr>
                <w:b/>
              </w:rPr>
              <w:t>2.</w:t>
            </w:r>
          </w:p>
        </w:tc>
        <w:tc>
          <w:tcPr>
            <w:tcW w:w="545" w:type="dxa"/>
          </w:tcPr>
          <w:p w14:paraId="26E9FBB4" w14:textId="77777777" w:rsidR="00570240" w:rsidRDefault="00570240" w:rsidP="00E256A8">
            <w:pPr>
              <w:pStyle w:val="PlainText"/>
              <w:rPr>
                <w:b/>
              </w:rPr>
            </w:pPr>
          </w:p>
          <w:p w14:paraId="4A86A6FB" w14:textId="4E4334DC" w:rsidR="00570240" w:rsidRPr="00E256A8" w:rsidRDefault="00570240" w:rsidP="00E256A8">
            <w:pPr>
              <w:pStyle w:val="PlainText"/>
              <w:rPr>
                <w:b/>
              </w:rPr>
            </w:pPr>
            <w:r>
              <w:rPr>
                <w:b/>
              </w:rPr>
              <w:t>___</w:t>
            </w:r>
          </w:p>
        </w:tc>
        <w:tc>
          <w:tcPr>
            <w:tcW w:w="9806" w:type="dxa"/>
          </w:tcPr>
          <w:p w14:paraId="593E505A" w14:textId="06310E96" w:rsidR="00570240" w:rsidRDefault="00570240" w:rsidP="00E256A8">
            <w:pPr>
              <w:pStyle w:val="PlainText"/>
              <w:rPr>
                <w:b/>
              </w:rPr>
            </w:pPr>
            <w:r w:rsidRPr="00570240">
              <w:rPr>
                <w:b/>
              </w:rPr>
              <w:t xml:space="preserve">Check here to confirm the protocol includes eligibility criteria outlined for both deceased and living HIV+ donors and for HIV+ recipients as described </w:t>
            </w:r>
            <w:r w:rsidR="00BA23EC">
              <w:rPr>
                <w:b/>
              </w:rPr>
              <w:t>in Appendix A.</w:t>
            </w:r>
          </w:p>
          <w:p w14:paraId="06D03D30" w14:textId="6D20588A" w:rsidR="00B0642D" w:rsidRPr="00E256A8" w:rsidRDefault="00B0642D" w:rsidP="00E256A8">
            <w:pPr>
              <w:pStyle w:val="PlainText"/>
              <w:rPr>
                <w:b/>
              </w:rPr>
            </w:pPr>
          </w:p>
        </w:tc>
      </w:tr>
      <w:tr w:rsidR="00570240" w14:paraId="25F2E5C8" w14:textId="77777777" w:rsidTr="00DC1257">
        <w:tc>
          <w:tcPr>
            <w:tcW w:w="444" w:type="dxa"/>
          </w:tcPr>
          <w:p w14:paraId="16C27052" w14:textId="77777777" w:rsidR="00570240" w:rsidRDefault="00570240" w:rsidP="00E256A8">
            <w:pPr>
              <w:pStyle w:val="PlainText"/>
              <w:rPr>
                <w:b/>
              </w:rPr>
            </w:pPr>
            <w:r>
              <w:rPr>
                <w:b/>
              </w:rPr>
              <w:t>3.</w:t>
            </w:r>
          </w:p>
        </w:tc>
        <w:tc>
          <w:tcPr>
            <w:tcW w:w="545" w:type="dxa"/>
          </w:tcPr>
          <w:p w14:paraId="26EC7685" w14:textId="77777777" w:rsidR="00570240" w:rsidRDefault="00570240" w:rsidP="005B6C3E">
            <w:pPr>
              <w:pStyle w:val="PlainText"/>
              <w:rPr>
                <w:b/>
              </w:rPr>
            </w:pPr>
          </w:p>
          <w:p w14:paraId="588B96A5" w14:textId="77777777" w:rsidR="00570240" w:rsidRDefault="00570240" w:rsidP="005B6C3E">
            <w:pPr>
              <w:pStyle w:val="PlainText"/>
              <w:rPr>
                <w:b/>
              </w:rPr>
            </w:pPr>
          </w:p>
          <w:p w14:paraId="389DAB2B" w14:textId="76203FF9" w:rsidR="00570240" w:rsidRPr="00E256A8" w:rsidRDefault="00570240" w:rsidP="005B6C3E">
            <w:pPr>
              <w:pStyle w:val="PlainText"/>
              <w:rPr>
                <w:b/>
              </w:rPr>
            </w:pPr>
            <w:r>
              <w:rPr>
                <w:b/>
              </w:rPr>
              <w:t>___</w:t>
            </w:r>
          </w:p>
        </w:tc>
        <w:tc>
          <w:tcPr>
            <w:tcW w:w="9806" w:type="dxa"/>
          </w:tcPr>
          <w:p w14:paraId="469D7FEF" w14:textId="3E7BABAB" w:rsidR="00570240" w:rsidRDefault="00570240" w:rsidP="005B6C3E">
            <w:pPr>
              <w:pStyle w:val="PlainText"/>
              <w:rPr>
                <w:b/>
              </w:rPr>
            </w:pPr>
            <w:r w:rsidRPr="00570240">
              <w:rPr>
                <w:b/>
              </w:rPr>
              <w:t>Check here to confirm that the protocol and consent form(s) describe the assignment of an independent advocate to the donor (if living) and a separate independent advocate to the recipient, and the protocol affirms these advocates will m</w:t>
            </w:r>
            <w:r w:rsidR="00BA23EC">
              <w:rPr>
                <w:b/>
              </w:rPr>
              <w:t>eet the criteria as described in</w:t>
            </w:r>
            <w:r w:rsidRPr="00570240">
              <w:rPr>
                <w:b/>
              </w:rPr>
              <w:t xml:space="preserve"> </w:t>
            </w:r>
            <w:r w:rsidR="00BA23EC">
              <w:rPr>
                <w:b/>
              </w:rPr>
              <w:t>Appendix B.</w:t>
            </w:r>
          </w:p>
          <w:p w14:paraId="3C5BB9C7" w14:textId="44A3E20D" w:rsidR="00B0642D" w:rsidRPr="00E256A8" w:rsidRDefault="00B0642D" w:rsidP="005B6C3E">
            <w:pPr>
              <w:pStyle w:val="PlainText"/>
              <w:rPr>
                <w:b/>
              </w:rPr>
            </w:pPr>
          </w:p>
        </w:tc>
      </w:tr>
      <w:tr w:rsidR="00BF5B26" w14:paraId="7288FBC9" w14:textId="77777777" w:rsidTr="00DC1257">
        <w:tc>
          <w:tcPr>
            <w:tcW w:w="444" w:type="dxa"/>
          </w:tcPr>
          <w:p w14:paraId="167C791A" w14:textId="76C979E8" w:rsidR="00BF5B26" w:rsidRDefault="00C90E4E" w:rsidP="00E256A8">
            <w:pPr>
              <w:pStyle w:val="PlainText"/>
              <w:rPr>
                <w:b/>
              </w:rPr>
            </w:pPr>
            <w:r>
              <w:rPr>
                <w:b/>
              </w:rPr>
              <w:t>4</w:t>
            </w:r>
            <w:r w:rsidR="00BF5B26">
              <w:rPr>
                <w:b/>
              </w:rPr>
              <w:t xml:space="preserve">. </w:t>
            </w:r>
          </w:p>
        </w:tc>
        <w:tc>
          <w:tcPr>
            <w:tcW w:w="545" w:type="dxa"/>
          </w:tcPr>
          <w:p w14:paraId="403E99D6" w14:textId="2FE5E41E" w:rsidR="00BF5B26" w:rsidRDefault="00BF5B26" w:rsidP="005B6C3E">
            <w:pPr>
              <w:pStyle w:val="PlainText"/>
              <w:rPr>
                <w:b/>
              </w:rPr>
            </w:pPr>
            <w:r>
              <w:rPr>
                <w:b/>
              </w:rPr>
              <w:t>___</w:t>
            </w:r>
          </w:p>
        </w:tc>
        <w:tc>
          <w:tcPr>
            <w:tcW w:w="9806" w:type="dxa"/>
          </w:tcPr>
          <w:p w14:paraId="6487C888" w14:textId="39483844" w:rsidR="00BF5B26" w:rsidRPr="0035695B" w:rsidRDefault="00A00194" w:rsidP="00BF5B26">
            <w:pPr>
              <w:autoSpaceDE w:val="0"/>
              <w:autoSpaceDN w:val="0"/>
              <w:adjustRightInd w:val="0"/>
              <w:rPr>
                <w:rFonts w:cs="Melior"/>
                <w:b/>
              </w:rPr>
            </w:pPr>
            <w:r>
              <w:rPr>
                <w:rFonts w:cs="Melior"/>
                <w:b/>
              </w:rPr>
              <w:t xml:space="preserve">Check here to confirm </w:t>
            </w:r>
            <w:r w:rsidR="00BF5B26" w:rsidRPr="0035695B">
              <w:rPr>
                <w:rFonts w:cs="Melior"/>
                <w:b/>
              </w:rPr>
              <w:t>the key donor and recipient characteristics</w:t>
            </w:r>
            <w:r>
              <w:rPr>
                <w:rFonts w:cs="Melior"/>
                <w:b/>
              </w:rPr>
              <w:t xml:space="preserve"> </w:t>
            </w:r>
            <w:r w:rsidR="00BF5B26" w:rsidRPr="0035695B">
              <w:rPr>
                <w:rFonts w:cs="Melior"/>
                <w:b/>
              </w:rPr>
              <w:t>and outcome measures</w:t>
            </w:r>
            <w:r>
              <w:rPr>
                <w:rFonts w:cs="Melior"/>
                <w:b/>
              </w:rPr>
              <w:t>, as described in Appendix C,</w:t>
            </w:r>
            <w:r w:rsidRPr="0035695B">
              <w:rPr>
                <w:rFonts w:cs="Melior"/>
                <w:b/>
              </w:rPr>
              <w:t xml:space="preserve"> </w:t>
            </w:r>
            <w:r>
              <w:rPr>
                <w:rFonts w:cs="Melior"/>
                <w:b/>
              </w:rPr>
              <w:t>are</w:t>
            </w:r>
            <w:r w:rsidR="00BF5B26" w:rsidRPr="0035695B">
              <w:rPr>
                <w:rFonts w:cs="Melior"/>
                <w:b/>
              </w:rPr>
              <w:t xml:space="preserve"> incorporated into the design of </w:t>
            </w:r>
            <w:r w:rsidR="00881FB8">
              <w:rPr>
                <w:rFonts w:cs="Melior"/>
                <w:b/>
              </w:rPr>
              <w:t>the protocol.</w:t>
            </w:r>
          </w:p>
          <w:p w14:paraId="3CA073D8" w14:textId="77777777" w:rsidR="00BF5B26" w:rsidRPr="00570240" w:rsidRDefault="00BF5B26" w:rsidP="005B6C3E">
            <w:pPr>
              <w:pStyle w:val="PlainText"/>
              <w:rPr>
                <w:b/>
              </w:rPr>
            </w:pPr>
          </w:p>
        </w:tc>
      </w:tr>
      <w:tr w:rsidR="00E256A8" w14:paraId="18737E59" w14:textId="77777777" w:rsidTr="00DC1257">
        <w:tc>
          <w:tcPr>
            <w:tcW w:w="444" w:type="dxa"/>
          </w:tcPr>
          <w:p w14:paraId="5469D234" w14:textId="59D4D5DD" w:rsidR="00E256A8" w:rsidRDefault="00C90E4E" w:rsidP="00E256A8">
            <w:pPr>
              <w:pStyle w:val="PlainText"/>
              <w:rPr>
                <w:b/>
              </w:rPr>
            </w:pPr>
            <w:r>
              <w:rPr>
                <w:b/>
              </w:rPr>
              <w:t>5</w:t>
            </w:r>
            <w:r w:rsidR="00E256A8">
              <w:rPr>
                <w:b/>
              </w:rPr>
              <w:t>.</w:t>
            </w:r>
          </w:p>
        </w:tc>
        <w:tc>
          <w:tcPr>
            <w:tcW w:w="10351" w:type="dxa"/>
            <w:gridSpan w:val="2"/>
          </w:tcPr>
          <w:p w14:paraId="7AB1F791" w14:textId="4A50420D" w:rsidR="009A7351" w:rsidRPr="00E256A8" w:rsidRDefault="00E256A8" w:rsidP="00E256A8">
            <w:pPr>
              <w:pStyle w:val="PlainText"/>
              <w:rPr>
                <w:b/>
              </w:rPr>
            </w:pPr>
            <w:r w:rsidRPr="00E256A8">
              <w:rPr>
                <w:b/>
              </w:rPr>
              <w:t>Check</w:t>
            </w:r>
            <w:r w:rsidR="000E4B61">
              <w:rPr>
                <w:b/>
              </w:rPr>
              <w:t xml:space="preserve"> </w:t>
            </w:r>
            <w:r w:rsidRPr="00E256A8">
              <w:rPr>
                <w:b/>
              </w:rPr>
              <w:t xml:space="preserve">below to confirm </w:t>
            </w:r>
            <w:r w:rsidR="000E4B61" w:rsidRPr="009A7351">
              <w:rPr>
                <w:b/>
                <w:u w:val="single"/>
              </w:rPr>
              <w:t>each</w:t>
            </w:r>
            <w:r w:rsidR="000E4B61">
              <w:rPr>
                <w:b/>
              </w:rPr>
              <w:t xml:space="preserve"> of the following about </w:t>
            </w:r>
            <w:r w:rsidRPr="00E256A8">
              <w:rPr>
                <w:b/>
              </w:rPr>
              <w:t xml:space="preserve">the </w:t>
            </w:r>
            <w:r w:rsidR="009A7351">
              <w:rPr>
                <w:b/>
              </w:rPr>
              <w:t xml:space="preserve">composition of the </w:t>
            </w:r>
            <w:r w:rsidRPr="00E256A8">
              <w:rPr>
                <w:b/>
              </w:rPr>
              <w:t>study team:</w:t>
            </w:r>
          </w:p>
        </w:tc>
      </w:tr>
      <w:tr w:rsidR="00E256A8" w14:paraId="18349C53" w14:textId="77777777" w:rsidTr="00DC1257">
        <w:tc>
          <w:tcPr>
            <w:tcW w:w="444" w:type="dxa"/>
          </w:tcPr>
          <w:p w14:paraId="21C2DBCC" w14:textId="77777777" w:rsidR="00E256A8" w:rsidRDefault="00E256A8" w:rsidP="00E256A8">
            <w:pPr>
              <w:pStyle w:val="PlainText"/>
              <w:rPr>
                <w:b/>
              </w:rPr>
            </w:pPr>
          </w:p>
        </w:tc>
        <w:tc>
          <w:tcPr>
            <w:tcW w:w="10351" w:type="dxa"/>
            <w:gridSpan w:val="2"/>
          </w:tcPr>
          <w:p w14:paraId="4B76F52E" w14:textId="77777777" w:rsidR="00B17270" w:rsidRPr="00BA23EC" w:rsidRDefault="00B17270" w:rsidP="00E256A8">
            <w:pPr>
              <w:pStyle w:val="PlainText"/>
              <w:rPr>
                <w:b/>
              </w:rPr>
            </w:pPr>
          </w:p>
          <w:p w14:paraId="06CA9A47" w14:textId="3D527777" w:rsidR="00570240" w:rsidRPr="00BA23EC" w:rsidRDefault="00E256A8" w:rsidP="00E256A8">
            <w:pPr>
              <w:pStyle w:val="PlainText"/>
              <w:rPr>
                <w:b/>
              </w:rPr>
            </w:pPr>
            <w:r w:rsidRPr="00BA23EC">
              <w:rPr>
                <w:b/>
              </w:rPr>
              <w:t>_</w:t>
            </w:r>
            <w:r w:rsidR="00B17270" w:rsidRPr="00BA23EC">
              <w:rPr>
                <w:b/>
              </w:rPr>
              <w:t xml:space="preserve">__ </w:t>
            </w:r>
            <w:r w:rsidR="00A743A7">
              <w:rPr>
                <w:b/>
              </w:rPr>
              <w:t xml:space="preserve">The </w:t>
            </w:r>
            <w:r w:rsidR="006F2EBF">
              <w:rPr>
                <w:b/>
              </w:rPr>
              <w:t xml:space="preserve">study team includes a </w:t>
            </w:r>
            <w:r w:rsidR="00A743A7">
              <w:rPr>
                <w:b/>
              </w:rPr>
              <w:t>t</w:t>
            </w:r>
            <w:r w:rsidRPr="00BA23EC">
              <w:rPr>
                <w:b/>
              </w:rPr>
              <w:t>ransplant surgeon</w:t>
            </w:r>
            <w:r w:rsidR="00B17270" w:rsidRPr="00BA23EC">
              <w:rPr>
                <w:b/>
              </w:rPr>
              <w:t xml:space="preserve">, </w:t>
            </w:r>
            <w:r w:rsidRPr="00BA23EC">
              <w:rPr>
                <w:b/>
              </w:rPr>
              <w:t>transplant physician</w:t>
            </w:r>
            <w:r w:rsidR="00B17270" w:rsidRPr="00BA23EC">
              <w:rPr>
                <w:b/>
              </w:rPr>
              <w:t xml:space="preserve">, </w:t>
            </w:r>
            <w:r w:rsidR="00B17270" w:rsidRPr="00BA23EC">
              <w:rPr>
                <w:b/>
                <w:u w:val="single"/>
              </w:rPr>
              <w:t>and</w:t>
            </w:r>
            <w:r w:rsidR="00B17270" w:rsidRPr="00BA23EC">
              <w:rPr>
                <w:b/>
              </w:rPr>
              <w:t xml:space="preserve"> </w:t>
            </w:r>
            <w:r w:rsidRPr="00BA23EC">
              <w:rPr>
                <w:b/>
              </w:rPr>
              <w:t>HIV physician</w:t>
            </w:r>
            <w:r w:rsidR="00B17270" w:rsidRPr="00BA23EC">
              <w:rPr>
                <w:b/>
              </w:rPr>
              <w:t xml:space="preserve">.  </w:t>
            </w:r>
          </w:p>
          <w:p w14:paraId="39C4BC48" w14:textId="77777777" w:rsidR="00570240" w:rsidRPr="00BA23EC" w:rsidRDefault="00570240" w:rsidP="00E256A8">
            <w:pPr>
              <w:pStyle w:val="PlainText"/>
              <w:rPr>
                <w:b/>
              </w:rPr>
            </w:pPr>
          </w:p>
          <w:p w14:paraId="2341DB9A" w14:textId="2B72220E" w:rsidR="00E256A8" w:rsidRPr="00BA23EC" w:rsidRDefault="00570240" w:rsidP="00E256A8">
            <w:pPr>
              <w:pStyle w:val="PlainText"/>
              <w:rPr>
                <w:b/>
              </w:rPr>
            </w:pPr>
            <w:r w:rsidRPr="00BA23EC">
              <w:rPr>
                <w:b/>
              </w:rPr>
              <w:t xml:space="preserve">___ </w:t>
            </w:r>
            <w:r w:rsidR="00B17270" w:rsidRPr="00BA23EC">
              <w:rPr>
                <w:b/>
              </w:rPr>
              <w:t xml:space="preserve">The </w:t>
            </w:r>
            <w:r w:rsidR="00E256A8" w:rsidRPr="00BA23EC">
              <w:rPr>
                <w:b/>
              </w:rPr>
              <w:t>transplant physician and HIV physician collectively have experience with at least 5 HIV-</w:t>
            </w:r>
            <w:r w:rsidR="00EE06C1">
              <w:rPr>
                <w:b/>
              </w:rPr>
              <w:t xml:space="preserve"> </w:t>
            </w:r>
            <w:r w:rsidR="00E256A8" w:rsidRPr="00BA23EC">
              <w:rPr>
                <w:b/>
              </w:rPr>
              <w:t>to HIV</w:t>
            </w:r>
            <w:r w:rsidR="00EE06C1">
              <w:rPr>
                <w:b/>
              </w:rPr>
              <w:t>+</w:t>
            </w:r>
            <w:r w:rsidR="00E256A8" w:rsidRPr="00BA23EC">
              <w:rPr>
                <w:b/>
              </w:rPr>
              <w:t xml:space="preserve"> transplants with the designated organ(s) over the past 4 years</w:t>
            </w:r>
            <w:r w:rsidR="00B17270" w:rsidRPr="00BA23EC">
              <w:rPr>
                <w:b/>
              </w:rPr>
              <w:t>.</w:t>
            </w:r>
          </w:p>
          <w:p w14:paraId="3CEE2CAC" w14:textId="77777777" w:rsidR="00B0642D" w:rsidRPr="00E256A8" w:rsidRDefault="00B0642D" w:rsidP="00E256A8">
            <w:pPr>
              <w:pStyle w:val="PlainText"/>
            </w:pPr>
          </w:p>
        </w:tc>
      </w:tr>
      <w:tr w:rsidR="000E4B61" w14:paraId="25BE2139" w14:textId="77777777" w:rsidTr="00A743A7">
        <w:tc>
          <w:tcPr>
            <w:tcW w:w="444" w:type="dxa"/>
          </w:tcPr>
          <w:p w14:paraId="355DEDD3" w14:textId="619D960C" w:rsidR="000E4B61" w:rsidRDefault="00C90E4E" w:rsidP="00E256A8">
            <w:pPr>
              <w:pStyle w:val="PlainText"/>
              <w:rPr>
                <w:b/>
              </w:rPr>
            </w:pPr>
            <w:r>
              <w:rPr>
                <w:b/>
              </w:rPr>
              <w:t>6</w:t>
            </w:r>
            <w:r w:rsidR="000E4B61">
              <w:rPr>
                <w:b/>
              </w:rPr>
              <w:t>.</w:t>
            </w:r>
          </w:p>
        </w:tc>
        <w:tc>
          <w:tcPr>
            <w:tcW w:w="545" w:type="dxa"/>
          </w:tcPr>
          <w:p w14:paraId="3D4ACD56" w14:textId="77777777" w:rsidR="000E4B61" w:rsidRDefault="000E4B61" w:rsidP="005B6C3E">
            <w:pPr>
              <w:pStyle w:val="PlainText"/>
              <w:rPr>
                <w:b/>
              </w:rPr>
            </w:pPr>
          </w:p>
          <w:p w14:paraId="79B439E6" w14:textId="121E2EB5" w:rsidR="000E4B61" w:rsidRDefault="000E4B61" w:rsidP="005B6C3E">
            <w:pPr>
              <w:pStyle w:val="PlainText"/>
              <w:rPr>
                <w:b/>
              </w:rPr>
            </w:pPr>
            <w:r>
              <w:rPr>
                <w:b/>
              </w:rPr>
              <w:t xml:space="preserve">___ </w:t>
            </w:r>
          </w:p>
          <w:p w14:paraId="1AD03149" w14:textId="77777777" w:rsidR="000E4B61" w:rsidRPr="00E256A8" w:rsidRDefault="000E4B61" w:rsidP="005B6C3E">
            <w:pPr>
              <w:pStyle w:val="PlainText"/>
              <w:rPr>
                <w:b/>
              </w:rPr>
            </w:pPr>
          </w:p>
        </w:tc>
        <w:tc>
          <w:tcPr>
            <w:tcW w:w="9806" w:type="dxa"/>
          </w:tcPr>
          <w:p w14:paraId="30926C60" w14:textId="20AA177B" w:rsidR="000E4B61" w:rsidRDefault="000E4B61" w:rsidP="005B6C3E">
            <w:pPr>
              <w:pStyle w:val="PlainText"/>
              <w:rPr>
                <w:b/>
              </w:rPr>
            </w:pPr>
            <w:r w:rsidRPr="000E4B61">
              <w:rPr>
                <w:b/>
              </w:rPr>
              <w:t>Check here to confirm the protocol describes how donors with low CD4+ T-cell counts (e.g. ≤ 200/ml) will be assessed with special caution and that the investigator will promptly inform the IRB and sponsor of known or suspected disease transmission events.</w:t>
            </w:r>
          </w:p>
          <w:p w14:paraId="6F79910A" w14:textId="3FFF7843" w:rsidR="00B0642D" w:rsidRPr="00E256A8" w:rsidRDefault="00B0642D" w:rsidP="005B6C3E">
            <w:pPr>
              <w:pStyle w:val="PlainText"/>
              <w:rPr>
                <w:b/>
              </w:rPr>
            </w:pPr>
          </w:p>
        </w:tc>
      </w:tr>
      <w:tr w:rsidR="00CA1ACB" w14:paraId="66F3CF8A" w14:textId="77777777" w:rsidTr="00CA1ACB">
        <w:trPr>
          <w:trHeight w:val="359"/>
        </w:trPr>
        <w:tc>
          <w:tcPr>
            <w:tcW w:w="444" w:type="dxa"/>
          </w:tcPr>
          <w:p w14:paraId="0E9B3592" w14:textId="672E6DEA" w:rsidR="00CA1ACB" w:rsidRDefault="00CA1ACB" w:rsidP="00E256A8">
            <w:pPr>
              <w:pStyle w:val="PlainText"/>
              <w:rPr>
                <w:b/>
              </w:rPr>
            </w:pPr>
            <w:r>
              <w:rPr>
                <w:b/>
              </w:rPr>
              <w:t>7.</w:t>
            </w:r>
          </w:p>
        </w:tc>
        <w:tc>
          <w:tcPr>
            <w:tcW w:w="10351" w:type="dxa"/>
            <w:gridSpan w:val="2"/>
          </w:tcPr>
          <w:p w14:paraId="3246F362" w14:textId="0D0ECFFC" w:rsidR="00CA1ACB" w:rsidRPr="000E4B61" w:rsidRDefault="00CA1ACB" w:rsidP="00CA1ACB">
            <w:pPr>
              <w:pStyle w:val="PlainText"/>
              <w:tabs>
                <w:tab w:val="left" w:pos="7845"/>
              </w:tabs>
              <w:rPr>
                <w:b/>
              </w:rPr>
            </w:pPr>
            <w:r w:rsidRPr="000E4B61">
              <w:rPr>
                <w:b/>
              </w:rPr>
              <w:t xml:space="preserve">Check </w:t>
            </w:r>
            <w:r w:rsidRPr="009A79E4">
              <w:rPr>
                <w:b/>
                <w:u w:val="single"/>
              </w:rPr>
              <w:t>each</w:t>
            </w:r>
            <w:r>
              <w:rPr>
                <w:b/>
              </w:rPr>
              <w:t xml:space="preserve"> of the below </w:t>
            </w:r>
            <w:r w:rsidRPr="000E4B61">
              <w:rPr>
                <w:b/>
              </w:rPr>
              <w:t xml:space="preserve">to confirm that the recipient consent form adequately details </w:t>
            </w:r>
            <w:r>
              <w:rPr>
                <w:b/>
              </w:rPr>
              <w:t>the following:</w:t>
            </w:r>
          </w:p>
        </w:tc>
      </w:tr>
      <w:tr w:rsidR="00CA1ACB" w14:paraId="2D70F134" w14:textId="77777777" w:rsidTr="00642648">
        <w:trPr>
          <w:trHeight w:val="1016"/>
        </w:trPr>
        <w:tc>
          <w:tcPr>
            <w:tcW w:w="444" w:type="dxa"/>
          </w:tcPr>
          <w:p w14:paraId="06FE9D38" w14:textId="392EE01C" w:rsidR="00CA1ACB" w:rsidRDefault="00CA1ACB" w:rsidP="00E256A8">
            <w:pPr>
              <w:pStyle w:val="PlainText"/>
              <w:rPr>
                <w:b/>
              </w:rPr>
            </w:pPr>
          </w:p>
        </w:tc>
        <w:tc>
          <w:tcPr>
            <w:tcW w:w="10351" w:type="dxa"/>
            <w:gridSpan w:val="2"/>
          </w:tcPr>
          <w:p w14:paraId="4394862C" w14:textId="77777777" w:rsidR="00CA1ACB" w:rsidRDefault="00CA1ACB" w:rsidP="000E4B61">
            <w:pPr>
              <w:pStyle w:val="PlainText"/>
              <w:rPr>
                <w:b/>
              </w:rPr>
            </w:pPr>
          </w:p>
          <w:p w14:paraId="79EAAF7C" w14:textId="2701512C" w:rsidR="00CA1ACB" w:rsidRDefault="00CA1ACB" w:rsidP="00CA1ACB">
            <w:pPr>
              <w:pStyle w:val="PlainText"/>
              <w:rPr>
                <w:b/>
              </w:rPr>
            </w:pPr>
            <w:r>
              <w:rPr>
                <w:b/>
              </w:rPr>
              <w:t>___</w:t>
            </w:r>
            <w:r w:rsidR="00C84AF7">
              <w:rPr>
                <w:b/>
              </w:rPr>
              <w:t xml:space="preserve"> </w:t>
            </w:r>
            <w:r>
              <w:rPr>
                <w:b/>
              </w:rPr>
              <w:t>C</w:t>
            </w:r>
            <w:r w:rsidRPr="000E4B61">
              <w:rPr>
                <w:b/>
              </w:rPr>
              <w:t>oncerns about transmitted drug resistance and addresses the transplant team’s assessment of risk specific to the organ being offered.</w:t>
            </w:r>
          </w:p>
          <w:p w14:paraId="330D334F" w14:textId="77777777" w:rsidR="00CA1ACB" w:rsidRDefault="00CA1ACB" w:rsidP="000E4B61">
            <w:pPr>
              <w:pStyle w:val="PlainText"/>
              <w:tabs>
                <w:tab w:val="left" w:pos="7845"/>
              </w:tabs>
              <w:rPr>
                <w:b/>
              </w:rPr>
            </w:pPr>
          </w:p>
          <w:p w14:paraId="39C54D97" w14:textId="17316313" w:rsidR="00CA1ACB" w:rsidRDefault="00CA1ACB" w:rsidP="000E4B61">
            <w:pPr>
              <w:pStyle w:val="PlainText"/>
              <w:tabs>
                <w:tab w:val="left" w:pos="7845"/>
              </w:tabs>
              <w:rPr>
                <w:b/>
              </w:rPr>
            </w:pPr>
            <w:r>
              <w:rPr>
                <w:b/>
              </w:rPr>
              <w:t>___</w:t>
            </w:r>
            <w:r w:rsidR="00C84AF7">
              <w:rPr>
                <w:b/>
              </w:rPr>
              <w:t xml:space="preserve"> </w:t>
            </w:r>
            <w:r w:rsidR="00EE06C1">
              <w:rPr>
                <w:b/>
              </w:rPr>
              <w:t>That outcomes of HIV+ to HIV+</w:t>
            </w:r>
            <w:r>
              <w:rPr>
                <w:b/>
              </w:rPr>
              <w:t xml:space="preserve"> transplants are unknown for the US population.</w:t>
            </w:r>
          </w:p>
          <w:p w14:paraId="1C762209" w14:textId="77777777" w:rsidR="00CA1ACB" w:rsidRDefault="00CA1ACB" w:rsidP="000E4B61">
            <w:pPr>
              <w:pStyle w:val="PlainText"/>
              <w:tabs>
                <w:tab w:val="left" w:pos="7845"/>
              </w:tabs>
              <w:rPr>
                <w:b/>
              </w:rPr>
            </w:pPr>
          </w:p>
          <w:p w14:paraId="7026ECF5" w14:textId="3955ECC3" w:rsidR="00CA1ACB" w:rsidRDefault="00CA1ACB" w:rsidP="000E4B61">
            <w:pPr>
              <w:pStyle w:val="PlainText"/>
              <w:tabs>
                <w:tab w:val="left" w:pos="7845"/>
              </w:tabs>
              <w:rPr>
                <w:b/>
              </w:rPr>
            </w:pPr>
            <w:r>
              <w:rPr>
                <w:b/>
              </w:rPr>
              <w:t>___</w:t>
            </w:r>
            <w:r w:rsidR="00C84AF7">
              <w:rPr>
                <w:b/>
              </w:rPr>
              <w:t xml:space="preserve"> </w:t>
            </w:r>
            <w:r>
              <w:rPr>
                <w:b/>
              </w:rPr>
              <w:t>The risk of transmission of an occult opportunistic infection.</w:t>
            </w:r>
          </w:p>
          <w:p w14:paraId="7B047FEB" w14:textId="77777777" w:rsidR="00CA1ACB" w:rsidRDefault="00CA1ACB" w:rsidP="000E4B61">
            <w:pPr>
              <w:pStyle w:val="PlainText"/>
              <w:tabs>
                <w:tab w:val="left" w:pos="7845"/>
              </w:tabs>
              <w:rPr>
                <w:b/>
              </w:rPr>
            </w:pPr>
          </w:p>
          <w:p w14:paraId="3A843C50" w14:textId="46D5811A" w:rsidR="00CA1ACB" w:rsidRPr="000E4B61" w:rsidRDefault="00C84AF7" w:rsidP="000E4B61">
            <w:pPr>
              <w:pStyle w:val="PlainText"/>
              <w:tabs>
                <w:tab w:val="left" w:pos="7845"/>
              </w:tabs>
              <w:rPr>
                <w:b/>
              </w:rPr>
            </w:pPr>
            <w:r>
              <w:rPr>
                <w:b/>
              </w:rPr>
              <w:t xml:space="preserve">___ </w:t>
            </w:r>
            <w:r w:rsidR="00CA1ACB">
              <w:rPr>
                <w:b/>
              </w:rPr>
              <w:t>There is a higher risk of t</w:t>
            </w:r>
            <w:r w:rsidR="00EE06C1">
              <w:rPr>
                <w:b/>
              </w:rPr>
              <w:t xml:space="preserve">ransplant rejection than in HIV- </w:t>
            </w:r>
            <w:r w:rsidR="00CA1ACB">
              <w:rPr>
                <w:b/>
              </w:rPr>
              <w:t xml:space="preserve">recipients. </w:t>
            </w:r>
          </w:p>
          <w:p w14:paraId="70E21C9F" w14:textId="3B5B101F" w:rsidR="00CA1ACB" w:rsidRPr="000E4B61" w:rsidRDefault="00CA1ACB" w:rsidP="000E4B61">
            <w:pPr>
              <w:pStyle w:val="PlainText"/>
              <w:tabs>
                <w:tab w:val="left" w:pos="7845"/>
              </w:tabs>
              <w:rPr>
                <w:b/>
              </w:rPr>
            </w:pPr>
            <w:r w:rsidRPr="000E4B61">
              <w:rPr>
                <w:b/>
              </w:rPr>
              <w:tab/>
            </w:r>
          </w:p>
        </w:tc>
      </w:tr>
      <w:tr w:rsidR="00CA1ACB" w14:paraId="329C3423" w14:textId="77777777" w:rsidTr="00BA24B8">
        <w:trPr>
          <w:trHeight w:val="350"/>
        </w:trPr>
        <w:tc>
          <w:tcPr>
            <w:tcW w:w="444" w:type="dxa"/>
          </w:tcPr>
          <w:p w14:paraId="0C71BB2E" w14:textId="2D88DE49" w:rsidR="00CA1ACB" w:rsidRDefault="00CA1ACB" w:rsidP="00E256A8">
            <w:pPr>
              <w:pStyle w:val="PlainText"/>
              <w:rPr>
                <w:b/>
              </w:rPr>
            </w:pPr>
            <w:r>
              <w:rPr>
                <w:b/>
              </w:rPr>
              <w:lastRenderedPageBreak/>
              <w:t>8.</w:t>
            </w:r>
          </w:p>
        </w:tc>
        <w:tc>
          <w:tcPr>
            <w:tcW w:w="10351" w:type="dxa"/>
            <w:gridSpan w:val="2"/>
          </w:tcPr>
          <w:p w14:paraId="1D5074C4" w14:textId="46187E85" w:rsidR="00CA1ACB" w:rsidRDefault="00CA1ACB" w:rsidP="00EE06C1">
            <w:pPr>
              <w:pStyle w:val="PlainText"/>
              <w:tabs>
                <w:tab w:val="left" w:pos="7845"/>
              </w:tabs>
              <w:rPr>
                <w:b/>
              </w:rPr>
            </w:pPr>
            <w:r>
              <w:rPr>
                <w:b/>
              </w:rPr>
              <w:t xml:space="preserve">Check </w:t>
            </w:r>
            <w:r w:rsidRPr="008A7639">
              <w:rPr>
                <w:b/>
                <w:u w:val="single"/>
              </w:rPr>
              <w:t>each</w:t>
            </w:r>
            <w:r>
              <w:rPr>
                <w:b/>
              </w:rPr>
              <w:t xml:space="preserve"> of the below to confirm that </w:t>
            </w:r>
            <w:r w:rsidRPr="008A7639">
              <w:rPr>
                <w:b/>
              </w:rPr>
              <w:t xml:space="preserve">the consent </w:t>
            </w:r>
            <w:r w:rsidR="00354BDF">
              <w:rPr>
                <w:b/>
              </w:rPr>
              <w:t xml:space="preserve">form </w:t>
            </w:r>
            <w:r>
              <w:rPr>
                <w:b/>
              </w:rPr>
              <w:t xml:space="preserve">and consent </w:t>
            </w:r>
            <w:r w:rsidRPr="008A7639">
              <w:rPr>
                <w:b/>
              </w:rPr>
              <w:t>process for a</w:t>
            </w:r>
            <w:r w:rsidR="005D65B8">
              <w:rPr>
                <w:b/>
              </w:rPr>
              <w:t>n</w:t>
            </w:r>
            <w:r w:rsidR="00EE06C1">
              <w:rPr>
                <w:b/>
              </w:rPr>
              <w:t xml:space="preserve"> HIV+ </w:t>
            </w:r>
            <w:r w:rsidRPr="008A7639">
              <w:rPr>
                <w:b/>
              </w:rPr>
              <w:t>living organ donor includes and documents</w:t>
            </w:r>
            <w:r>
              <w:rPr>
                <w:b/>
              </w:rPr>
              <w:t xml:space="preserve"> informational</w:t>
            </w:r>
            <w:r w:rsidRPr="008A7639">
              <w:rPr>
                <w:b/>
              </w:rPr>
              <w:t xml:space="preserve"> provisions to the donor regarding: </w:t>
            </w:r>
          </w:p>
        </w:tc>
      </w:tr>
      <w:tr w:rsidR="00CA1ACB" w14:paraId="2F824AB3" w14:textId="77777777" w:rsidTr="00FF7B72">
        <w:trPr>
          <w:trHeight w:val="350"/>
        </w:trPr>
        <w:tc>
          <w:tcPr>
            <w:tcW w:w="444" w:type="dxa"/>
          </w:tcPr>
          <w:p w14:paraId="63B38CAC" w14:textId="1DB69F6D" w:rsidR="00CA1ACB" w:rsidRDefault="00CA1ACB" w:rsidP="00E256A8">
            <w:pPr>
              <w:pStyle w:val="PlainText"/>
              <w:rPr>
                <w:b/>
              </w:rPr>
            </w:pPr>
          </w:p>
        </w:tc>
        <w:tc>
          <w:tcPr>
            <w:tcW w:w="10351" w:type="dxa"/>
            <w:gridSpan w:val="2"/>
          </w:tcPr>
          <w:p w14:paraId="6B7E0ED8" w14:textId="77777777" w:rsidR="00CA1ACB" w:rsidRPr="008A7639" w:rsidRDefault="00CA1ACB" w:rsidP="008A7639">
            <w:pPr>
              <w:pStyle w:val="PlainText"/>
              <w:tabs>
                <w:tab w:val="left" w:pos="7845"/>
              </w:tabs>
              <w:rPr>
                <w:b/>
              </w:rPr>
            </w:pPr>
          </w:p>
          <w:p w14:paraId="6C81BAD0" w14:textId="7DF3AAEE" w:rsidR="00CA1ACB" w:rsidRDefault="00CA1ACB" w:rsidP="008A7639">
            <w:pPr>
              <w:pStyle w:val="PlainText"/>
              <w:tabs>
                <w:tab w:val="left" w:pos="7845"/>
              </w:tabs>
              <w:rPr>
                <w:b/>
              </w:rPr>
            </w:pPr>
            <w:r>
              <w:rPr>
                <w:b/>
              </w:rPr>
              <w:t>___</w:t>
            </w:r>
            <w:r w:rsidR="00FD1826">
              <w:rPr>
                <w:b/>
              </w:rPr>
              <w:t xml:space="preserve"> </w:t>
            </w:r>
            <w:r w:rsidRPr="008A7639">
              <w:rPr>
                <w:b/>
              </w:rPr>
              <w:t>The possibility that the loss of organ function resulting from donation could preclude the use of certain antiretroviral drugs in the future.</w:t>
            </w:r>
          </w:p>
          <w:p w14:paraId="379CD287" w14:textId="77777777" w:rsidR="00CA1ACB" w:rsidRPr="008A7639" w:rsidRDefault="00CA1ACB" w:rsidP="008A7639">
            <w:pPr>
              <w:pStyle w:val="PlainText"/>
              <w:tabs>
                <w:tab w:val="left" w:pos="7845"/>
              </w:tabs>
              <w:rPr>
                <w:b/>
              </w:rPr>
            </w:pPr>
          </w:p>
          <w:p w14:paraId="1C1333BB" w14:textId="07F175BC" w:rsidR="00CA1ACB" w:rsidRDefault="00CA1ACB" w:rsidP="008A7639">
            <w:pPr>
              <w:pStyle w:val="PlainText"/>
              <w:tabs>
                <w:tab w:val="left" w:pos="7845"/>
              </w:tabs>
              <w:rPr>
                <w:b/>
              </w:rPr>
            </w:pPr>
            <w:r>
              <w:rPr>
                <w:b/>
              </w:rPr>
              <w:t>___</w:t>
            </w:r>
            <w:r w:rsidR="00FD1826">
              <w:rPr>
                <w:b/>
              </w:rPr>
              <w:t xml:space="preserve"> </w:t>
            </w:r>
            <w:r w:rsidRPr="008A7639">
              <w:rPr>
                <w:b/>
              </w:rPr>
              <w:t>The risk of kidney or liver failure in the future.</w:t>
            </w:r>
          </w:p>
          <w:p w14:paraId="16455A3D" w14:textId="77777777" w:rsidR="00CA1ACB" w:rsidRPr="008A7639" w:rsidRDefault="00CA1ACB" w:rsidP="008A7639">
            <w:pPr>
              <w:pStyle w:val="PlainText"/>
              <w:tabs>
                <w:tab w:val="left" w:pos="7845"/>
              </w:tabs>
              <w:rPr>
                <w:b/>
              </w:rPr>
            </w:pPr>
          </w:p>
          <w:p w14:paraId="40DED074" w14:textId="553E57C8" w:rsidR="00CA1ACB" w:rsidRDefault="00CA1ACB" w:rsidP="008A7639">
            <w:pPr>
              <w:pStyle w:val="PlainText"/>
              <w:tabs>
                <w:tab w:val="left" w:pos="7845"/>
              </w:tabs>
              <w:rPr>
                <w:b/>
              </w:rPr>
            </w:pPr>
            <w:r>
              <w:rPr>
                <w:b/>
              </w:rPr>
              <w:t>___</w:t>
            </w:r>
            <w:r w:rsidR="00FD1826">
              <w:rPr>
                <w:b/>
              </w:rPr>
              <w:t xml:space="preserve"> </w:t>
            </w:r>
            <w:r w:rsidRPr="008A7639">
              <w:rPr>
                <w:b/>
              </w:rPr>
              <w:t xml:space="preserve">The possibility of transmission of occult opportunistic infections to the recipient. </w:t>
            </w:r>
          </w:p>
          <w:p w14:paraId="7DA39DCA" w14:textId="77777777" w:rsidR="00CA1ACB" w:rsidRPr="008A7639" w:rsidRDefault="00CA1ACB" w:rsidP="008A7639">
            <w:pPr>
              <w:pStyle w:val="PlainText"/>
              <w:tabs>
                <w:tab w:val="left" w:pos="7845"/>
              </w:tabs>
              <w:rPr>
                <w:b/>
              </w:rPr>
            </w:pPr>
          </w:p>
          <w:p w14:paraId="774D039F" w14:textId="36017510" w:rsidR="00CA1ACB" w:rsidRPr="008A7639" w:rsidRDefault="00CA1ACB" w:rsidP="008A7639">
            <w:pPr>
              <w:pStyle w:val="PlainText"/>
              <w:tabs>
                <w:tab w:val="left" w:pos="7845"/>
              </w:tabs>
              <w:rPr>
                <w:b/>
              </w:rPr>
            </w:pPr>
            <w:r>
              <w:rPr>
                <w:b/>
              </w:rPr>
              <w:t>___</w:t>
            </w:r>
            <w:r w:rsidR="00FD1826">
              <w:rPr>
                <w:b/>
              </w:rPr>
              <w:t xml:space="preserve"> </w:t>
            </w:r>
            <w:r w:rsidRPr="008A7639">
              <w:rPr>
                <w:b/>
              </w:rPr>
              <w:t>The absence of U.S. experience in HIV</w:t>
            </w:r>
            <w:r w:rsidR="00EE06C1">
              <w:rPr>
                <w:b/>
              </w:rPr>
              <w:t>+ to HIV+</w:t>
            </w:r>
            <w:r w:rsidR="005D65B8">
              <w:rPr>
                <w:b/>
              </w:rPr>
              <w:t xml:space="preserve"> organ</w:t>
            </w:r>
            <w:r w:rsidRPr="008A7639">
              <w:rPr>
                <w:b/>
              </w:rPr>
              <w:t xml:space="preserve"> transplantation</w:t>
            </w:r>
            <w:r w:rsidR="00354BDF">
              <w:rPr>
                <w:b/>
              </w:rPr>
              <w:t xml:space="preserve">; </w:t>
            </w:r>
            <w:r w:rsidRPr="008A7639">
              <w:rPr>
                <w:b/>
              </w:rPr>
              <w:t>thus</w:t>
            </w:r>
            <w:r>
              <w:rPr>
                <w:b/>
              </w:rPr>
              <w:t>,</w:t>
            </w:r>
            <w:r w:rsidRPr="008A7639">
              <w:rPr>
                <w:b/>
              </w:rPr>
              <w:t xml:space="preserve"> the unpredictable nature of donor and recipient outcomes.</w:t>
            </w:r>
          </w:p>
          <w:p w14:paraId="7F13A3DD" w14:textId="31343FAA" w:rsidR="00CA1ACB" w:rsidRPr="000E4B61" w:rsidRDefault="00CA1ACB" w:rsidP="001669C0">
            <w:pPr>
              <w:pStyle w:val="PlainText"/>
              <w:tabs>
                <w:tab w:val="left" w:pos="7845"/>
              </w:tabs>
              <w:rPr>
                <w:b/>
              </w:rPr>
            </w:pPr>
          </w:p>
        </w:tc>
      </w:tr>
    </w:tbl>
    <w:p w14:paraId="60E23207" w14:textId="27B4588A" w:rsidR="00E256A8" w:rsidRPr="00E256A8" w:rsidRDefault="00E256A8" w:rsidP="00E256A8">
      <w:pPr>
        <w:pStyle w:val="PlainText"/>
        <w:rPr>
          <w:b/>
        </w:rPr>
      </w:pPr>
    </w:p>
    <w:p w14:paraId="3517DB42" w14:textId="31F91375" w:rsidR="00FD1826" w:rsidRDefault="00FD1826">
      <w:pPr>
        <w:rPr>
          <w:rFonts w:ascii="Calibri" w:hAnsi="Calibri"/>
          <w:szCs w:val="21"/>
        </w:rPr>
      </w:pPr>
      <w:r>
        <w:rPr>
          <w:rFonts w:ascii="Calibri" w:hAnsi="Calibri"/>
          <w:szCs w:val="21"/>
        </w:rPr>
        <w:br w:type="page"/>
      </w:r>
    </w:p>
    <w:p w14:paraId="6F433955" w14:textId="054E59A4" w:rsidR="00A23630" w:rsidRDefault="00A23630" w:rsidP="00A23630">
      <w:pPr>
        <w:jc w:val="center"/>
        <w:rPr>
          <w:b/>
          <w:sz w:val="28"/>
          <w:szCs w:val="28"/>
          <w:u w:val="single"/>
        </w:rPr>
      </w:pPr>
      <w:r w:rsidRPr="006622EE">
        <w:rPr>
          <w:b/>
          <w:sz w:val="28"/>
          <w:szCs w:val="28"/>
          <w:u w:val="single"/>
        </w:rPr>
        <w:lastRenderedPageBreak/>
        <w:t>Appendix A</w:t>
      </w:r>
    </w:p>
    <w:p w14:paraId="59484EB4" w14:textId="1F92E5EF" w:rsidR="00A23630" w:rsidRPr="00F23D6B" w:rsidRDefault="00A23630" w:rsidP="00A23630">
      <w:pPr>
        <w:rPr>
          <w:b/>
          <w:sz w:val="26"/>
          <w:szCs w:val="26"/>
        </w:rPr>
      </w:pPr>
      <w:r w:rsidRPr="00F23D6B">
        <w:rPr>
          <w:b/>
          <w:sz w:val="26"/>
          <w:szCs w:val="26"/>
          <w:u w:val="single"/>
        </w:rPr>
        <w:t>Eligibility Criteria (Recipient</w:t>
      </w:r>
      <w:r w:rsidR="00C214D3" w:rsidRPr="00F23D6B">
        <w:rPr>
          <w:b/>
          <w:sz w:val="26"/>
          <w:szCs w:val="26"/>
          <w:u w:val="single"/>
        </w:rPr>
        <w:t>s</w:t>
      </w:r>
      <w:r w:rsidRPr="00F23D6B">
        <w:rPr>
          <w:b/>
          <w:sz w:val="26"/>
          <w:szCs w:val="26"/>
          <w:u w:val="single"/>
        </w:rPr>
        <w:t>)</w:t>
      </w:r>
      <w:r w:rsidRPr="00F23D6B">
        <w:rPr>
          <w:b/>
          <w:sz w:val="26"/>
          <w:szCs w:val="26"/>
        </w:rPr>
        <w:t>:</w:t>
      </w:r>
    </w:p>
    <w:p w14:paraId="0DA03125" w14:textId="3CA8332F" w:rsidR="006F5F6A" w:rsidRPr="00F23D6B" w:rsidRDefault="006F5F6A" w:rsidP="006F5F6A">
      <w:pPr>
        <w:rPr>
          <w:b/>
          <w:i/>
          <w:sz w:val="21"/>
          <w:szCs w:val="21"/>
        </w:rPr>
      </w:pPr>
      <w:r w:rsidRPr="00F23D6B">
        <w:rPr>
          <w:b/>
          <w:i/>
          <w:sz w:val="21"/>
          <w:szCs w:val="21"/>
        </w:rPr>
        <w:t xml:space="preserve">The following </w:t>
      </w:r>
      <w:bookmarkStart w:id="0" w:name="_GoBack"/>
      <w:r w:rsidRPr="00F23D6B">
        <w:rPr>
          <w:b/>
          <w:i/>
          <w:sz w:val="21"/>
          <w:szCs w:val="21"/>
        </w:rPr>
        <w:t>HIV</w:t>
      </w:r>
      <w:bookmarkEnd w:id="0"/>
      <w:r w:rsidRPr="00F23D6B">
        <w:rPr>
          <w:b/>
          <w:i/>
          <w:sz w:val="21"/>
          <w:szCs w:val="21"/>
        </w:rPr>
        <w:t>-specific criteria must be met when screening for an HIV-positive to HIV-positive organ transplant:</w:t>
      </w:r>
    </w:p>
    <w:p w14:paraId="46003FA2" w14:textId="1818B82E" w:rsidR="00A23630" w:rsidRPr="00F23D6B" w:rsidRDefault="006F5F6A" w:rsidP="006F5F6A">
      <w:pPr>
        <w:pStyle w:val="ListParagraph"/>
        <w:numPr>
          <w:ilvl w:val="0"/>
          <w:numId w:val="1"/>
        </w:numPr>
        <w:rPr>
          <w:b/>
          <w:sz w:val="21"/>
          <w:szCs w:val="21"/>
        </w:rPr>
      </w:pPr>
      <w:r w:rsidRPr="00F23D6B">
        <w:rPr>
          <w:b/>
          <w:sz w:val="21"/>
          <w:szCs w:val="21"/>
        </w:rPr>
        <w:t>CD4+ T-cell count ≥200/mL (kidney) and ≥100/mL (liver) within 16 weeks prior to transplant; any patient with history of OI must have a CD4 positive T-cell count ≥200/</w:t>
      </w:r>
      <w:proofErr w:type="spellStart"/>
      <w:r w:rsidRPr="00F23D6B">
        <w:rPr>
          <w:b/>
          <w:sz w:val="21"/>
          <w:szCs w:val="21"/>
        </w:rPr>
        <w:t>uL</w:t>
      </w:r>
      <w:proofErr w:type="spellEnd"/>
      <w:r w:rsidRPr="00F23D6B">
        <w:rPr>
          <w:b/>
          <w:sz w:val="21"/>
          <w:szCs w:val="21"/>
        </w:rPr>
        <w:t>.</w:t>
      </w:r>
    </w:p>
    <w:p w14:paraId="075E7669" w14:textId="6C00A7BE" w:rsidR="006F5F6A" w:rsidRPr="00F23D6B" w:rsidRDefault="006F5F6A" w:rsidP="006F5F6A">
      <w:pPr>
        <w:pStyle w:val="ListParagraph"/>
        <w:numPr>
          <w:ilvl w:val="0"/>
          <w:numId w:val="1"/>
        </w:numPr>
        <w:rPr>
          <w:b/>
          <w:sz w:val="21"/>
          <w:szCs w:val="21"/>
        </w:rPr>
      </w:pPr>
      <w:r w:rsidRPr="00F23D6B">
        <w:rPr>
          <w:b/>
          <w:sz w:val="21"/>
          <w:szCs w:val="21"/>
        </w:rPr>
        <w:t>HIV RNA less than 50 copies/mL and on a stable antiretroviral regimen.*</w:t>
      </w:r>
    </w:p>
    <w:p w14:paraId="7030068B" w14:textId="61510D22" w:rsidR="006F5F6A" w:rsidRPr="00F23D6B" w:rsidRDefault="006F5F6A" w:rsidP="006F5F6A">
      <w:pPr>
        <w:pStyle w:val="ListParagraph"/>
        <w:numPr>
          <w:ilvl w:val="0"/>
          <w:numId w:val="1"/>
        </w:numPr>
        <w:rPr>
          <w:b/>
          <w:sz w:val="21"/>
          <w:szCs w:val="21"/>
        </w:rPr>
      </w:pPr>
      <w:r w:rsidRPr="00F23D6B">
        <w:rPr>
          <w:b/>
          <w:sz w:val="21"/>
          <w:szCs w:val="21"/>
        </w:rPr>
        <w:t>No evidence of active opportunistic complications of HIV infection.</w:t>
      </w:r>
    </w:p>
    <w:p w14:paraId="7D71C14A" w14:textId="6DEAFE32" w:rsidR="006F5F6A" w:rsidRPr="00F23D6B" w:rsidRDefault="006F5F6A" w:rsidP="006F5F6A">
      <w:pPr>
        <w:pStyle w:val="ListParagraph"/>
        <w:numPr>
          <w:ilvl w:val="0"/>
          <w:numId w:val="1"/>
        </w:numPr>
        <w:rPr>
          <w:b/>
          <w:sz w:val="21"/>
          <w:szCs w:val="21"/>
        </w:rPr>
      </w:pPr>
      <w:r w:rsidRPr="00F23D6B">
        <w:rPr>
          <w:b/>
          <w:sz w:val="21"/>
          <w:szCs w:val="21"/>
        </w:rPr>
        <w:t>No history of primary CNS lymphoma or progressive PML.</w:t>
      </w:r>
    </w:p>
    <w:p w14:paraId="6B26A44B" w14:textId="025843F4" w:rsidR="006F5F6A" w:rsidRPr="00F23D6B" w:rsidRDefault="006F5F6A" w:rsidP="006F5F6A">
      <w:pPr>
        <w:pStyle w:val="ListParagraph"/>
        <w:numPr>
          <w:ilvl w:val="0"/>
          <w:numId w:val="1"/>
        </w:numPr>
        <w:rPr>
          <w:b/>
          <w:sz w:val="21"/>
          <w:szCs w:val="21"/>
        </w:rPr>
      </w:pPr>
      <w:r w:rsidRPr="00F23D6B">
        <w:rPr>
          <w:b/>
          <w:sz w:val="21"/>
          <w:szCs w:val="21"/>
        </w:rPr>
        <w:t>Concurrence by the study team that, based on medical history and ART, viral suppression can be achieved in the recipient post-transplant.</w:t>
      </w:r>
    </w:p>
    <w:p w14:paraId="4C340428" w14:textId="23BE1805" w:rsidR="006F5F6A" w:rsidRPr="00F23D6B" w:rsidRDefault="006F5F6A" w:rsidP="006F5F6A">
      <w:pPr>
        <w:ind w:left="360"/>
        <w:rPr>
          <w:b/>
          <w:sz w:val="21"/>
          <w:szCs w:val="21"/>
        </w:rPr>
      </w:pPr>
      <w:r w:rsidRPr="00F23D6B">
        <w:rPr>
          <w:b/>
          <w:sz w:val="21"/>
          <w:szCs w:val="21"/>
        </w:rPr>
        <w:t>*Patients who are unable to tolerate ART due to organ failure or who have only recently started ART may have detectable viral load and still be considered eligible if the study team is confident there will be a safe, tolerable, and effective antiretroviral regimen for the patient once organ function is restored after transplantation.</w:t>
      </w:r>
    </w:p>
    <w:p w14:paraId="6B1B37B6" w14:textId="618BCEEC" w:rsidR="006F5F6A" w:rsidRPr="00F23D6B" w:rsidRDefault="006F5F6A" w:rsidP="006F5F6A">
      <w:pPr>
        <w:rPr>
          <w:b/>
          <w:sz w:val="26"/>
          <w:szCs w:val="26"/>
        </w:rPr>
      </w:pPr>
      <w:r w:rsidRPr="00F23D6B">
        <w:rPr>
          <w:b/>
          <w:sz w:val="26"/>
          <w:szCs w:val="26"/>
          <w:u w:val="single"/>
        </w:rPr>
        <w:t>Eligibility Criteria (Deceased Donor</w:t>
      </w:r>
      <w:r w:rsidR="00C214D3" w:rsidRPr="00F23D6B">
        <w:rPr>
          <w:b/>
          <w:sz w:val="26"/>
          <w:szCs w:val="26"/>
          <w:u w:val="single"/>
        </w:rPr>
        <w:t>s</w:t>
      </w:r>
      <w:r w:rsidRPr="00F23D6B">
        <w:rPr>
          <w:b/>
          <w:sz w:val="26"/>
          <w:szCs w:val="26"/>
          <w:u w:val="single"/>
        </w:rPr>
        <w:t>)</w:t>
      </w:r>
      <w:r w:rsidRPr="00F23D6B">
        <w:rPr>
          <w:b/>
          <w:sz w:val="26"/>
          <w:szCs w:val="26"/>
        </w:rPr>
        <w:t>:</w:t>
      </w:r>
    </w:p>
    <w:p w14:paraId="2C6DF4A8" w14:textId="0B268713" w:rsidR="006F5F6A" w:rsidRPr="00F23D6B" w:rsidRDefault="00DF7283" w:rsidP="00DF7283">
      <w:pPr>
        <w:rPr>
          <w:b/>
          <w:i/>
          <w:sz w:val="21"/>
          <w:szCs w:val="21"/>
        </w:rPr>
      </w:pPr>
      <w:r w:rsidRPr="00F23D6B">
        <w:rPr>
          <w:b/>
          <w:i/>
          <w:sz w:val="21"/>
          <w:szCs w:val="21"/>
        </w:rPr>
        <w:t>Minimum eligibility criteria for all HIV-positive deceased donors:</w:t>
      </w:r>
    </w:p>
    <w:p w14:paraId="3F8C79B9" w14:textId="05814133" w:rsidR="00DF7283" w:rsidRPr="00F23D6B" w:rsidRDefault="00DF7283" w:rsidP="00DF7283">
      <w:pPr>
        <w:pStyle w:val="ListParagraph"/>
        <w:numPr>
          <w:ilvl w:val="0"/>
          <w:numId w:val="2"/>
        </w:numPr>
        <w:rPr>
          <w:b/>
          <w:sz w:val="21"/>
          <w:szCs w:val="21"/>
        </w:rPr>
      </w:pPr>
      <w:r w:rsidRPr="00F23D6B">
        <w:rPr>
          <w:b/>
          <w:sz w:val="21"/>
          <w:szCs w:val="21"/>
        </w:rPr>
        <w:t>Documented HIV infection using an FDA-licensed, approved, or cleared test device(s).</w:t>
      </w:r>
    </w:p>
    <w:p w14:paraId="4AAEFD65" w14:textId="76D97E06" w:rsidR="00DF7283" w:rsidRPr="00F23D6B" w:rsidRDefault="006622EE" w:rsidP="006622EE">
      <w:pPr>
        <w:pStyle w:val="ListParagraph"/>
        <w:numPr>
          <w:ilvl w:val="0"/>
          <w:numId w:val="2"/>
        </w:numPr>
        <w:rPr>
          <w:b/>
          <w:sz w:val="21"/>
          <w:szCs w:val="21"/>
        </w:rPr>
      </w:pPr>
      <w:r w:rsidRPr="00F23D6B">
        <w:rPr>
          <w:b/>
          <w:sz w:val="21"/>
          <w:szCs w:val="21"/>
        </w:rPr>
        <w:t>No evidence of invasive opportunistic complications of HIV infection.</w:t>
      </w:r>
    </w:p>
    <w:p w14:paraId="10C4B2CB" w14:textId="4A0EBAFB" w:rsidR="006622EE" w:rsidRPr="00F23D6B" w:rsidRDefault="00AE6A4E" w:rsidP="00AE6A4E">
      <w:pPr>
        <w:pStyle w:val="ListParagraph"/>
        <w:numPr>
          <w:ilvl w:val="0"/>
          <w:numId w:val="2"/>
        </w:numPr>
        <w:rPr>
          <w:b/>
          <w:sz w:val="21"/>
          <w:szCs w:val="21"/>
        </w:rPr>
      </w:pPr>
      <w:r w:rsidRPr="00F23D6B">
        <w:rPr>
          <w:b/>
          <w:sz w:val="21"/>
          <w:szCs w:val="21"/>
        </w:rPr>
        <w:t>Pre-implant donor organ biopsy to be stored, at a minimum, for the duration of the study (or at least 5 years); additional specimens may be obtained to support specific research goals.</w:t>
      </w:r>
    </w:p>
    <w:p w14:paraId="32280E0B" w14:textId="20B0C236" w:rsidR="00AE6A4E" w:rsidRPr="00F23D6B" w:rsidRDefault="00AE6A4E" w:rsidP="00AE6A4E">
      <w:pPr>
        <w:rPr>
          <w:b/>
          <w:i/>
          <w:sz w:val="21"/>
          <w:szCs w:val="21"/>
        </w:rPr>
      </w:pPr>
      <w:r w:rsidRPr="00F23D6B">
        <w:rPr>
          <w:b/>
          <w:i/>
          <w:sz w:val="21"/>
          <w:szCs w:val="21"/>
        </w:rPr>
        <w:t>Additional eligibility criteria for HIV-positive deceased donors with a known history of HIV and prior treatment with ART:</w:t>
      </w:r>
    </w:p>
    <w:p w14:paraId="3817446B" w14:textId="36661F5B" w:rsidR="00AE6A4E" w:rsidRPr="00F23D6B" w:rsidRDefault="00AE6A4E" w:rsidP="00AE6A4E">
      <w:pPr>
        <w:pStyle w:val="ListParagraph"/>
        <w:numPr>
          <w:ilvl w:val="0"/>
          <w:numId w:val="3"/>
        </w:numPr>
        <w:rPr>
          <w:b/>
          <w:sz w:val="21"/>
          <w:szCs w:val="21"/>
        </w:rPr>
      </w:pPr>
      <w:r w:rsidRPr="00F23D6B">
        <w:rPr>
          <w:b/>
          <w:sz w:val="21"/>
          <w:szCs w:val="21"/>
        </w:rPr>
        <w:t>The study team must describe the anticipated post-transplant antiretroviral regimen(s) to be prescribed for the recipient and justify their conclusion that the proposed regimen will be safe, tolerable, and effective.</w:t>
      </w:r>
    </w:p>
    <w:p w14:paraId="1F5F54C6" w14:textId="4B8E306A" w:rsidR="00A96109" w:rsidRPr="00F23D6B" w:rsidRDefault="00A96109" w:rsidP="00A96109">
      <w:pPr>
        <w:rPr>
          <w:b/>
          <w:sz w:val="26"/>
          <w:szCs w:val="26"/>
        </w:rPr>
      </w:pPr>
      <w:r w:rsidRPr="00F23D6B">
        <w:rPr>
          <w:b/>
          <w:sz w:val="26"/>
          <w:szCs w:val="26"/>
          <w:u w:val="single"/>
        </w:rPr>
        <w:t>Eligibility Criteria (Living Donor</w:t>
      </w:r>
      <w:r w:rsidR="00C214D3" w:rsidRPr="00F23D6B">
        <w:rPr>
          <w:b/>
          <w:sz w:val="26"/>
          <w:szCs w:val="26"/>
          <w:u w:val="single"/>
        </w:rPr>
        <w:t>s</w:t>
      </w:r>
      <w:r w:rsidRPr="00F23D6B">
        <w:rPr>
          <w:b/>
          <w:sz w:val="26"/>
          <w:szCs w:val="26"/>
          <w:u w:val="single"/>
        </w:rPr>
        <w:t>)</w:t>
      </w:r>
      <w:r w:rsidRPr="00F23D6B">
        <w:rPr>
          <w:b/>
          <w:sz w:val="26"/>
          <w:szCs w:val="26"/>
        </w:rPr>
        <w:t>:</w:t>
      </w:r>
    </w:p>
    <w:p w14:paraId="00FB613A" w14:textId="25230C60" w:rsidR="00A23630" w:rsidRPr="00F23D6B" w:rsidRDefault="00A96109" w:rsidP="00A96109">
      <w:pPr>
        <w:rPr>
          <w:b/>
          <w:sz w:val="21"/>
          <w:szCs w:val="21"/>
        </w:rPr>
      </w:pPr>
      <w:r w:rsidRPr="00F23D6B">
        <w:rPr>
          <w:b/>
          <w:i/>
          <w:sz w:val="21"/>
          <w:szCs w:val="21"/>
        </w:rPr>
        <w:t>Minimum eligibility criteria for HIV-positive living donors:</w:t>
      </w:r>
    </w:p>
    <w:p w14:paraId="4C9E7C17" w14:textId="27F7EFFE" w:rsidR="00A96109" w:rsidRPr="00F23D6B" w:rsidRDefault="00A96109" w:rsidP="00A96109">
      <w:pPr>
        <w:pStyle w:val="ListParagraph"/>
        <w:numPr>
          <w:ilvl w:val="0"/>
          <w:numId w:val="5"/>
        </w:numPr>
        <w:rPr>
          <w:b/>
          <w:sz w:val="21"/>
          <w:szCs w:val="21"/>
        </w:rPr>
      </w:pPr>
      <w:r w:rsidRPr="00F23D6B">
        <w:rPr>
          <w:b/>
          <w:sz w:val="21"/>
          <w:szCs w:val="21"/>
        </w:rPr>
        <w:t>Documented HIV infection using an FDA-licensed, approved, or cleared test device.</w:t>
      </w:r>
    </w:p>
    <w:p w14:paraId="6DBEA4C2" w14:textId="27A76594" w:rsidR="00A96109" w:rsidRPr="00F23D6B" w:rsidRDefault="00A96109" w:rsidP="00A96109">
      <w:pPr>
        <w:pStyle w:val="ListParagraph"/>
        <w:numPr>
          <w:ilvl w:val="0"/>
          <w:numId w:val="5"/>
        </w:numPr>
        <w:rPr>
          <w:b/>
          <w:sz w:val="21"/>
          <w:szCs w:val="21"/>
        </w:rPr>
      </w:pPr>
      <w:r w:rsidRPr="00F23D6B">
        <w:rPr>
          <w:b/>
          <w:sz w:val="21"/>
          <w:szCs w:val="21"/>
        </w:rPr>
        <w:t xml:space="preserve">Well-controlled HIV infection, as evidenced by: a. CD4+ T-cell count ≥500/mL for the 6-month period preceding donation </w:t>
      </w:r>
      <w:r w:rsidRPr="00F23D6B">
        <w:rPr>
          <w:b/>
          <w:sz w:val="21"/>
          <w:szCs w:val="21"/>
          <w:u w:val="single"/>
        </w:rPr>
        <w:t>and</w:t>
      </w:r>
      <w:r w:rsidRPr="00F23D6B">
        <w:rPr>
          <w:b/>
          <w:sz w:val="21"/>
          <w:szCs w:val="21"/>
        </w:rPr>
        <w:t xml:space="preserve"> b. Fewer than 50 copies/mL of HIV–1 RNA detectable by ultrasensitive or real-time polymerase chain reaction (PCR) assay.</w:t>
      </w:r>
    </w:p>
    <w:p w14:paraId="35AB8F58" w14:textId="45C23E5D" w:rsidR="00DC1257" w:rsidRPr="00F23D6B" w:rsidRDefault="00DC1257" w:rsidP="00DC1257">
      <w:pPr>
        <w:pStyle w:val="ListParagraph"/>
        <w:numPr>
          <w:ilvl w:val="0"/>
          <w:numId w:val="5"/>
        </w:numPr>
        <w:rPr>
          <w:b/>
          <w:sz w:val="21"/>
          <w:szCs w:val="21"/>
        </w:rPr>
      </w:pPr>
      <w:r w:rsidRPr="00F23D6B">
        <w:rPr>
          <w:b/>
          <w:sz w:val="21"/>
          <w:szCs w:val="21"/>
        </w:rPr>
        <w:t>A complete history of ART regimens and ART resistance.</w:t>
      </w:r>
    </w:p>
    <w:p w14:paraId="47DF6222" w14:textId="264E30FC" w:rsidR="00DC1257" w:rsidRPr="00F23D6B" w:rsidRDefault="00DC1257" w:rsidP="00DC1257">
      <w:pPr>
        <w:pStyle w:val="ListParagraph"/>
        <w:numPr>
          <w:ilvl w:val="0"/>
          <w:numId w:val="5"/>
        </w:numPr>
        <w:rPr>
          <w:b/>
          <w:sz w:val="21"/>
          <w:szCs w:val="21"/>
        </w:rPr>
      </w:pPr>
      <w:r w:rsidRPr="00F23D6B">
        <w:rPr>
          <w:b/>
          <w:sz w:val="21"/>
          <w:szCs w:val="21"/>
        </w:rPr>
        <w:t>The study team must be able to predict a safe, tolerable, and effective regimen to be prescribed for the recipient based on the donor’s current ART regimen as well as the donor’s history of ART resistance.</w:t>
      </w:r>
    </w:p>
    <w:p w14:paraId="099E8C18" w14:textId="1FE1C042" w:rsidR="001C3EF2" w:rsidRPr="00F23D6B" w:rsidRDefault="001C3EF2" w:rsidP="001C3EF2">
      <w:pPr>
        <w:pStyle w:val="ListParagraph"/>
        <w:numPr>
          <w:ilvl w:val="0"/>
          <w:numId w:val="5"/>
        </w:numPr>
        <w:rPr>
          <w:b/>
          <w:sz w:val="21"/>
          <w:szCs w:val="21"/>
        </w:rPr>
      </w:pPr>
      <w:r w:rsidRPr="00F23D6B">
        <w:rPr>
          <w:b/>
          <w:sz w:val="21"/>
          <w:szCs w:val="21"/>
        </w:rPr>
        <w:t>No evidence of invasive opportunistic complications of HIV infection.</w:t>
      </w:r>
    </w:p>
    <w:p w14:paraId="3C1848AE" w14:textId="377C4D8F" w:rsidR="00F23D6B" w:rsidRPr="00F23D6B" w:rsidRDefault="001C3EF2" w:rsidP="00F23D6B">
      <w:pPr>
        <w:pStyle w:val="ListParagraph"/>
        <w:numPr>
          <w:ilvl w:val="0"/>
          <w:numId w:val="5"/>
        </w:numPr>
        <w:rPr>
          <w:b/>
          <w:sz w:val="21"/>
          <w:szCs w:val="21"/>
        </w:rPr>
      </w:pPr>
      <w:r w:rsidRPr="00F23D6B">
        <w:rPr>
          <w:b/>
          <w:sz w:val="21"/>
          <w:szCs w:val="21"/>
        </w:rPr>
        <w:t xml:space="preserve">A liver biopsy (in liver donors) or a kidney biopsy (in kidney donors) showing no evidence of a disease process that would put the donor at increased risk of progressing to </w:t>
      </w:r>
      <w:proofErr w:type="spellStart"/>
      <w:r w:rsidRPr="00F23D6B">
        <w:rPr>
          <w:b/>
          <w:sz w:val="21"/>
          <w:szCs w:val="21"/>
        </w:rPr>
        <w:t>endstage</w:t>
      </w:r>
      <w:proofErr w:type="spellEnd"/>
      <w:r w:rsidRPr="00F23D6B">
        <w:rPr>
          <w:b/>
          <w:sz w:val="21"/>
          <w:szCs w:val="21"/>
        </w:rPr>
        <w:t xml:space="preserve"> organ failure after donation, or that would present a risk of poor graft function to the recipient.</w:t>
      </w:r>
    </w:p>
    <w:p w14:paraId="3428D01C" w14:textId="77777777" w:rsidR="00FD1826" w:rsidRDefault="00FD1826" w:rsidP="00F23D6B">
      <w:pPr>
        <w:rPr>
          <w:b/>
          <w:sz w:val="28"/>
          <w:szCs w:val="28"/>
        </w:rPr>
      </w:pPr>
    </w:p>
    <w:p w14:paraId="77AEB4EB" w14:textId="289340C7" w:rsidR="00F23D6B" w:rsidRPr="00FD1826" w:rsidRDefault="00F23D6B" w:rsidP="00F23D6B">
      <w:pPr>
        <w:rPr>
          <w:b/>
          <w:sz w:val="28"/>
          <w:szCs w:val="28"/>
        </w:rPr>
      </w:pPr>
      <w:r w:rsidRPr="00F23D6B">
        <w:rPr>
          <w:b/>
          <w:sz w:val="28"/>
          <w:szCs w:val="28"/>
        </w:rPr>
        <w:t>(Source: Federal Register Vol. 80, No. 227, 11/25/2015)</w:t>
      </w:r>
    </w:p>
    <w:p w14:paraId="3EEF4439" w14:textId="696B5557" w:rsidR="00F23D6B" w:rsidRDefault="00F23D6B" w:rsidP="00F23D6B">
      <w:pPr>
        <w:jc w:val="center"/>
        <w:rPr>
          <w:b/>
          <w:sz w:val="28"/>
          <w:szCs w:val="28"/>
          <w:u w:val="single"/>
        </w:rPr>
      </w:pPr>
      <w:r>
        <w:rPr>
          <w:b/>
          <w:sz w:val="28"/>
          <w:szCs w:val="28"/>
          <w:u w:val="single"/>
        </w:rPr>
        <w:lastRenderedPageBreak/>
        <w:t>Appendix B</w:t>
      </w:r>
    </w:p>
    <w:p w14:paraId="522D9E80" w14:textId="438AA792" w:rsidR="00F23D6B" w:rsidRDefault="00F23D6B" w:rsidP="00F23D6B">
      <w:pPr>
        <w:rPr>
          <w:b/>
          <w:sz w:val="28"/>
          <w:szCs w:val="28"/>
        </w:rPr>
      </w:pPr>
      <w:r>
        <w:rPr>
          <w:b/>
          <w:sz w:val="26"/>
          <w:szCs w:val="26"/>
          <w:u w:val="single"/>
        </w:rPr>
        <w:t>Independent Advocates</w:t>
      </w:r>
      <w:r w:rsidRPr="00F23D6B">
        <w:rPr>
          <w:b/>
          <w:sz w:val="26"/>
          <w:szCs w:val="26"/>
          <w:u w:val="single"/>
        </w:rPr>
        <w:t xml:space="preserve"> (Recipients)</w:t>
      </w:r>
      <w:r w:rsidRPr="00F23D6B">
        <w:rPr>
          <w:b/>
          <w:sz w:val="26"/>
          <w:szCs w:val="26"/>
        </w:rPr>
        <w:t>:</w:t>
      </w:r>
    </w:p>
    <w:p w14:paraId="3B2664D3" w14:textId="3BB33F8D" w:rsidR="00F23D6B" w:rsidRPr="00F23D6B" w:rsidRDefault="00F23D6B" w:rsidP="00F23D6B">
      <w:pPr>
        <w:rPr>
          <w:b/>
          <w:i/>
          <w:sz w:val="21"/>
          <w:szCs w:val="21"/>
        </w:rPr>
      </w:pPr>
      <w:r w:rsidRPr="00F23D6B">
        <w:rPr>
          <w:b/>
          <w:i/>
          <w:sz w:val="21"/>
          <w:szCs w:val="21"/>
        </w:rPr>
        <w:t>Transplant programs performing HIV-positive to HIV-positive transplant must designate and provide each HIV-positive recipient and prospective HIV-positive recipient with an independent advocate who is responsible for protecting and promoting the rights and interests of the HIV-positive recipient (or prospective recipient). The independent advocate for the HIV-positive recipient must:</w:t>
      </w:r>
    </w:p>
    <w:p w14:paraId="4AF6C1B4" w14:textId="44A46CA0" w:rsidR="00F23D6B" w:rsidRDefault="00F23D6B" w:rsidP="00F23D6B">
      <w:pPr>
        <w:pStyle w:val="ListParagraph"/>
        <w:numPr>
          <w:ilvl w:val="0"/>
          <w:numId w:val="6"/>
        </w:numPr>
        <w:rPr>
          <w:b/>
          <w:sz w:val="21"/>
          <w:szCs w:val="21"/>
        </w:rPr>
      </w:pPr>
      <w:r w:rsidRPr="00F23D6B">
        <w:rPr>
          <w:b/>
          <w:sz w:val="21"/>
          <w:szCs w:val="21"/>
        </w:rPr>
        <w:t>Promote and protect the interests of</w:t>
      </w:r>
      <w:r>
        <w:rPr>
          <w:b/>
          <w:sz w:val="21"/>
          <w:szCs w:val="21"/>
        </w:rPr>
        <w:t xml:space="preserve"> </w:t>
      </w:r>
      <w:r w:rsidRPr="00F23D6B">
        <w:rPr>
          <w:b/>
          <w:sz w:val="21"/>
          <w:szCs w:val="21"/>
        </w:rPr>
        <w:t>the HIV-positive recipient (including</w:t>
      </w:r>
      <w:r>
        <w:rPr>
          <w:b/>
          <w:sz w:val="21"/>
          <w:szCs w:val="21"/>
        </w:rPr>
        <w:t xml:space="preserve"> </w:t>
      </w:r>
      <w:r w:rsidRPr="00F23D6B">
        <w:rPr>
          <w:b/>
          <w:sz w:val="21"/>
          <w:szCs w:val="21"/>
        </w:rPr>
        <w:t>with respect to having access to a</w:t>
      </w:r>
      <w:r>
        <w:rPr>
          <w:b/>
          <w:sz w:val="21"/>
          <w:szCs w:val="21"/>
        </w:rPr>
        <w:t xml:space="preserve"> </w:t>
      </w:r>
      <w:r w:rsidRPr="00F23D6B">
        <w:rPr>
          <w:b/>
          <w:sz w:val="21"/>
          <w:szCs w:val="21"/>
        </w:rPr>
        <w:t>suitable HIV-negative organ if it</w:t>
      </w:r>
      <w:r>
        <w:rPr>
          <w:b/>
          <w:sz w:val="21"/>
          <w:szCs w:val="21"/>
        </w:rPr>
        <w:t xml:space="preserve"> </w:t>
      </w:r>
      <w:r w:rsidRPr="00F23D6B">
        <w:rPr>
          <w:b/>
          <w:sz w:val="21"/>
          <w:szCs w:val="21"/>
        </w:rPr>
        <w:t>becomes available) and take steps to</w:t>
      </w:r>
      <w:r>
        <w:rPr>
          <w:b/>
          <w:sz w:val="21"/>
          <w:szCs w:val="21"/>
        </w:rPr>
        <w:t xml:space="preserve"> </w:t>
      </w:r>
      <w:r w:rsidRPr="00F23D6B">
        <w:rPr>
          <w:b/>
          <w:sz w:val="21"/>
          <w:szCs w:val="21"/>
        </w:rPr>
        <w:t>ensure that the HIV-positive recipient’s</w:t>
      </w:r>
      <w:r>
        <w:rPr>
          <w:b/>
          <w:sz w:val="21"/>
          <w:szCs w:val="21"/>
        </w:rPr>
        <w:t xml:space="preserve"> </w:t>
      </w:r>
      <w:r w:rsidRPr="00F23D6B">
        <w:rPr>
          <w:b/>
          <w:sz w:val="21"/>
          <w:szCs w:val="21"/>
        </w:rPr>
        <w:t>decision is informed and free from</w:t>
      </w:r>
      <w:r>
        <w:rPr>
          <w:b/>
          <w:sz w:val="21"/>
          <w:szCs w:val="21"/>
        </w:rPr>
        <w:t xml:space="preserve"> </w:t>
      </w:r>
      <w:r w:rsidRPr="00F23D6B">
        <w:rPr>
          <w:b/>
          <w:sz w:val="21"/>
          <w:szCs w:val="21"/>
        </w:rPr>
        <w:t>coercion.</w:t>
      </w:r>
    </w:p>
    <w:p w14:paraId="72E81F79" w14:textId="09E026F6" w:rsidR="00F23D6B" w:rsidRDefault="00F23D6B" w:rsidP="00F23D6B">
      <w:pPr>
        <w:pStyle w:val="ListParagraph"/>
        <w:numPr>
          <w:ilvl w:val="0"/>
          <w:numId w:val="6"/>
        </w:numPr>
        <w:rPr>
          <w:b/>
          <w:sz w:val="21"/>
          <w:szCs w:val="21"/>
        </w:rPr>
      </w:pPr>
      <w:r w:rsidRPr="00F23D6B">
        <w:rPr>
          <w:b/>
          <w:sz w:val="21"/>
          <w:szCs w:val="21"/>
        </w:rPr>
        <w:t>Review whether the potential HIV</w:t>
      </w:r>
      <w:r>
        <w:rPr>
          <w:b/>
          <w:sz w:val="21"/>
          <w:szCs w:val="21"/>
        </w:rPr>
        <w:t>-</w:t>
      </w:r>
      <w:r w:rsidRPr="00F23D6B">
        <w:rPr>
          <w:b/>
          <w:sz w:val="21"/>
          <w:szCs w:val="21"/>
        </w:rPr>
        <w:t>positive</w:t>
      </w:r>
      <w:r>
        <w:rPr>
          <w:b/>
          <w:sz w:val="21"/>
          <w:szCs w:val="21"/>
        </w:rPr>
        <w:t xml:space="preserve"> </w:t>
      </w:r>
      <w:r w:rsidRPr="00F23D6B">
        <w:rPr>
          <w:b/>
          <w:sz w:val="21"/>
          <w:szCs w:val="21"/>
        </w:rPr>
        <w:t>recipient has received</w:t>
      </w:r>
      <w:r>
        <w:rPr>
          <w:b/>
          <w:sz w:val="21"/>
          <w:szCs w:val="21"/>
        </w:rPr>
        <w:t xml:space="preserve"> </w:t>
      </w:r>
      <w:r w:rsidRPr="00F23D6B">
        <w:rPr>
          <w:b/>
          <w:sz w:val="21"/>
          <w:szCs w:val="21"/>
        </w:rPr>
        <w:t>information regarding the results of SOT</w:t>
      </w:r>
      <w:r>
        <w:rPr>
          <w:b/>
          <w:sz w:val="21"/>
          <w:szCs w:val="21"/>
        </w:rPr>
        <w:t xml:space="preserve"> </w:t>
      </w:r>
      <w:r w:rsidRPr="00F23D6B">
        <w:rPr>
          <w:b/>
          <w:sz w:val="21"/>
          <w:szCs w:val="21"/>
        </w:rPr>
        <w:t>in general and transplantation in HIV-positive</w:t>
      </w:r>
      <w:r>
        <w:rPr>
          <w:b/>
          <w:sz w:val="21"/>
          <w:szCs w:val="21"/>
        </w:rPr>
        <w:t xml:space="preserve"> </w:t>
      </w:r>
      <w:r w:rsidRPr="00F23D6B">
        <w:rPr>
          <w:b/>
          <w:sz w:val="21"/>
          <w:szCs w:val="21"/>
        </w:rPr>
        <w:t>recipients in particular and the</w:t>
      </w:r>
      <w:r>
        <w:rPr>
          <w:b/>
          <w:sz w:val="21"/>
          <w:szCs w:val="21"/>
        </w:rPr>
        <w:t xml:space="preserve"> </w:t>
      </w:r>
      <w:r w:rsidRPr="00F23D6B">
        <w:rPr>
          <w:b/>
          <w:sz w:val="21"/>
          <w:szCs w:val="21"/>
        </w:rPr>
        <w:t>unknown risks associated with HIV</w:t>
      </w:r>
      <w:r>
        <w:rPr>
          <w:b/>
          <w:sz w:val="21"/>
          <w:szCs w:val="21"/>
        </w:rPr>
        <w:t>-</w:t>
      </w:r>
      <w:r w:rsidRPr="00F23D6B">
        <w:rPr>
          <w:b/>
          <w:sz w:val="21"/>
          <w:szCs w:val="21"/>
        </w:rPr>
        <w:t>positive</w:t>
      </w:r>
      <w:r>
        <w:rPr>
          <w:b/>
          <w:sz w:val="21"/>
          <w:szCs w:val="21"/>
        </w:rPr>
        <w:t xml:space="preserve"> </w:t>
      </w:r>
      <w:r w:rsidRPr="00F23D6B">
        <w:rPr>
          <w:b/>
          <w:sz w:val="21"/>
          <w:szCs w:val="21"/>
        </w:rPr>
        <w:t>to HIV-positive transplant.</w:t>
      </w:r>
    </w:p>
    <w:p w14:paraId="0345F61C" w14:textId="29EC8BB5" w:rsidR="0017640E" w:rsidRDefault="00F23D6B" w:rsidP="0017640E">
      <w:pPr>
        <w:pStyle w:val="ListParagraph"/>
        <w:numPr>
          <w:ilvl w:val="0"/>
          <w:numId w:val="6"/>
        </w:numPr>
        <w:rPr>
          <w:b/>
          <w:sz w:val="21"/>
          <w:szCs w:val="21"/>
        </w:rPr>
      </w:pPr>
      <w:r w:rsidRPr="00F23D6B">
        <w:rPr>
          <w:b/>
          <w:sz w:val="21"/>
          <w:szCs w:val="21"/>
        </w:rPr>
        <w:t>Demonstrate knowledge of HIV</w:t>
      </w:r>
      <w:r>
        <w:rPr>
          <w:b/>
          <w:sz w:val="21"/>
          <w:szCs w:val="21"/>
        </w:rPr>
        <w:t xml:space="preserve"> </w:t>
      </w:r>
      <w:r w:rsidRPr="00F23D6B">
        <w:rPr>
          <w:b/>
          <w:sz w:val="21"/>
          <w:szCs w:val="21"/>
        </w:rPr>
        <w:t>infection and transplantation.</w:t>
      </w:r>
    </w:p>
    <w:p w14:paraId="72B856B9" w14:textId="77777777" w:rsidR="0017640E" w:rsidRPr="0017640E" w:rsidRDefault="0017640E" w:rsidP="0017640E">
      <w:pPr>
        <w:pStyle w:val="ListParagraph"/>
        <w:rPr>
          <w:b/>
          <w:sz w:val="21"/>
          <w:szCs w:val="21"/>
        </w:rPr>
      </w:pPr>
    </w:p>
    <w:p w14:paraId="3C26FBF7" w14:textId="648E7AA8" w:rsidR="00F23D6B" w:rsidRPr="0017640E" w:rsidRDefault="00F23D6B" w:rsidP="0017640E">
      <w:pPr>
        <w:rPr>
          <w:b/>
          <w:sz w:val="28"/>
          <w:szCs w:val="28"/>
        </w:rPr>
      </w:pPr>
      <w:r w:rsidRPr="0017640E">
        <w:rPr>
          <w:b/>
          <w:sz w:val="26"/>
          <w:szCs w:val="26"/>
          <w:u w:val="single"/>
        </w:rPr>
        <w:t>Independent Advocates (</w:t>
      </w:r>
      <w:r w:rsidR="0017640E">
        <w:rPr>
          <w:b/>
          <w:sz w:val="26"/>
          <w:szCs w:val="26"/>
          <w:u w:val="single"/>
        </w:rPr>
        <w:t>Living Donors</w:t>
      </w:r>
      <w:r w:rsidRPr="0017640E">
        <w:rPr>
          <w:b/>
          <w:sz w:val="26"/>
          <w:szCs w:val="26"/>
          <w:u w:val="single"/>
        </w:rPr>
        <w:t>)</w:t>
      </w:r>
      <w:r w:rsidRPr="0017640E">
        <w:rPr>
          <w:b/>
          <w:sz w:val="26"/>
          <w:szCs w:val="26"/>
        </w:rPr>
        <w:t>:</w:t>
      </w:r>
    </w:p>
    <w:p w14:paraId="70D0E71A" w14:textId="61635587" w:rsidR="00F23D6B" w:rsidRPr="0017640E" w:rsidRDefault="0017640E" w:rsidP="0017640E">
      <w:pPr>
        <w:rPr>
          <w:b/>
          <w:i/>
          <w:sz w:val="21"/>
          <w:szCs w:val="21"/>
        </w:rPr>
      </w:pPr>
      <w:r w:rsidRPr="0017640E">
        <w:rPr>
          <w:b/>
          <w:i/>
          <w:sz w:val="21"/>
          <w:szCs w:val="21"/>
        </w:rPr>
        <w:t>Transplant programs performing HIV-positive donor transplantations must designate and provide each living HIV-positive donor and living prospective HIV-positive donor with an independent advocate who is responsible for promoting and protecting the rights and interests of the HIV-positive donor (or prospective donor). More specifically, the independent advocate for the HIV-positive living donor must:</w:t>
      </w:r>
    </w:p>
    <w:p w14:paraId="7666BB2C" w14:textId="0E5514CC" w:rsidR="00F23D6B" w:rsidRDefault="0017640E" w:rsidP="0017640E">
      <w:pPr>
        <w:pStyle w:val="ListParagraph"/>
        <w:numPr>
          <w:ilvl w:val="0"/>
          <w:numId w:val="7"/>
        </w:numPr>
        <w:rPr>
          <w:b/>
          <w:sz w:val="21"/>
          <w:szCs w:val="21"/>
        </w:rPr>
      </w:pPr>
      <w:r w:rsidRPr="0017640E">
        <w:rPr>
          <w:b/>
          <w:sz w:val="21"/>
          <w:szCs w:val="21"/>
        </w:rPr>
        <w:t>Promote and protect the interests of</w:t>
      </w:r>
      <w:r>
        <w:rPr>
          <w:b/>
          <w:sz w:val="21"/>
          <w:szCs w:val="21"/>
        </w:rPr>
        <w:t xml:space="preserve"> </w:t>
      </w:r>
      <w:r w:rsidRPr="0017640E">
        <w:rPr>
          <w:b/>
          <w:sz w:val="21"/>
          <w:szCs w:val="21"/>
        </w:rPr>
        <w:t>the HIV-positive donor (including with</w:t>
      </w:r>
      <w:r>
        <w:rPr>
          <w:b/>
          <w:sz w:val="21"/>
          <w:szCs w:val="21"/>
        </w:rPr>
        <w:t xml:space="preserve"> </w:t>
      </w:r>
      <w:r w:rsidRPr="0017640E">
        <w:rPr>
          <w:b/>
          <w:sz w:val="21"/>
          <w:szCs w:val="21"/>
        </w:rPr>
        <w:t>respect to having ample opportunity to</w:t>
      </w:r>
      <w:r>
        <w:rPr>
          <w:b/>
          <w:sz w:val="21"/>
          <w:szCs w:val="21"/>
        </w:rPr>
        <w:t xml:space="preserve"> </w:t>
      </w:r>
      <w:r w:rsidRPr="0017640E">
        <w:rPr>
          <w:b/>
          <w:sz w:val="21"/>
          <w:szCs w:val="21"/>
        </w:rPr>
        <w:t>withdraw consent from donation) and</w:t>
      </w:r>
      <w:r>
        <w:rPr>
          <w:b/>
          <w:sz w:val="21"/>
          <w:szCs w:val="21"/>
        </w:rPr>
        <w:t xml:space="preserve"> </w:t>
      </w:r>
      <w:r w:rsidRPr="0017640E">
        <w:rPr>
          <w:b/>
          <w:sz w:val="21"/>
          <w:szCs w:val="21"/>
        </w:rPr>
        <w:t>take steps to ensure that the HIV</w:t>
      </w:r>
      <w:r>
        <w:rPr>
          <w:b/>
          <w:sz w:val="21"/>
          <w:szCs w:val="21"/>
        </w:rPr>
        <w:t>-</w:t>
      </w:r>
      <w:r w:rsidRPr="0017640E">
        <w:rPr>
          <w:b/>
          <w:sz w:val="21"/>
          <w:szCs w:val="21"/>
        </w:rPr>
        <w:t>positive</w:t>
      </w:r>
      <w:r>
        <w:rPr>
          <w:b/>
          <w:sz w:val="21"/>
          <w:szCs w:val="21"/>
        </w:rPr>
        <w:t xml:space="preserve"> </w:t>
      </w:r>
      <w:r w:rsidRPr="0017640E">
        <w:rPr>
          <w:b/>
          <w:sz w:val="21"/>
          <w:szCs w:val="21"/>
        </w:rPr>
        <w:t>donor’s decision is informed</w:t>
      </w:r>
      <w:r>
        <w:rPr>
          <w:b/>
          <w:sz w:val="21"/>
          <w:szCs w:val="21"/>
        </w:rPr>
        <w:t xml:space="preserve"> </w:t>
      </w:r>
      <w:r w:rsidRPr="0017640E">
        <w:rPr>
          <w:b/>
          <w:sz w:val="21"/>
          <w:szCs w:val="21"/>
        </w:rPr>
        <w:t>and free from external pressure.</w:t>
      </w:r>
    </w:p>
    <w:p w14:paraId="710B7E7E" w14:textId="38E8076C" w:rsidR="0017640E" w:rsidRDefault="0017640E" w:rsidP="0017640E">
      <w:pPr>
        <w:pStyle w:val="ListParagraph"/>
        <w:numPr>
          <w:ilvl w:val="0"/>
          <w:numId w:val="7"/>
        </w:numPr>
        <w:rPr>
          <w:b/>
          <w:sz w:val="21"/>
          <w:szCs w:val="21"/>
        </w:rPr>
      </w:pPr>
      <w:r w:rsidRPr="0017640E">
        <w:rPr>
          <w:b/>
          <w:sz w:val="21"/>
          <w:szCs w:val="21"/>
        </w:rPr>
        <w:t>Review whether the potential HIV</w:t>
      </w:r>
      <w:r>
        <w:rPr>
          <w:b/>
          <w:sz w:val="21"/>
          <w:szCs w:val="21"/>
        </w:rPr>
        <w:t>-</w:t>
      </w:r>
      <w:r w:rsidRPr="0017640E">
        <w:rPr>
          <w:b/>
          <w:sz w:val="21"/>
          <w:szCs w:val="21"/>
        </w:rPr>
        <w:t>positive</w:t>
      </w:r>
      <w:r>
        <w:rPr>
          <w:b/>
          <w:sz w:val="21"/>
          <w:szCs w:val="21"/>
        </w:rPr>
        <w:t xml:space="preserve"> </w:t>
      </w:r>
      <w:r w:rsidRPr="0017640E">
        <w:rPr>
          <w:b/>
          <w:sz w:val="21"/>
          <w:szCs w:val="21"/>
        </w:rPr>
        <w:t>donor has received information</w:t>
      </w:r>
      <w:r>
        <w:rPr>
          <w:b/>
          <w:sz w:val="21"/>
          <w:szCs w:val="21"/>
        </w:rPr>
        <w:t xml:space="preserve"> </w:t>
      </w:r>
      <w:r w:rsidRPr="0017640E">
        <w:rPr>
          <w:b/>
          <w:sz w:val="21"/>
          <w:szCs w:val="21"/>
        </w:rPr>
        <w:t>regarding (a) risks of organ donation in</w:t>
      </w:r>
      <w:r>
        <w:rPr>
          <w:b/>
          <w:sz w:val="21"/>
          <w:szCs w:val="21"/>
        </w:rPr>
        <w:t xml:space="preserve"> </w:t>
      </w:r>
      <w:r w:rsidRPr="0017640E">
        <w:rPr>
          <w:b/>
          <w:sz w:val="21"/>
          <w:szCs w:val="21"/>
        </w:rPr>
        <w:t>general, as well as the additional</w:t>
      </w:r>
      <w:r>
        <w:rPr>
          <w:b/>
          <w:sz w:val="21"/>
          <w:szCs w:val="21"/>
        </w:rPr>
        <w:t xml:space="preserve"> </w:t>
      </w:r>
      <w:r w:rsidRPr="0017640E">
        <w:rPr>
          <w:b/>
          <w:sz w:val="21"/>
          <w:szCs w:val="21"/>
        </w:rPr>
        <w:t>potential risks that are the specific to</w:t>
      </w:r>
      <w:r>
        <w:rPr>
          <w:b/>
          <w:sz w:val="21"/>
          <w:szCs w:val="21"/>
        </w:rPr>
        <w:t xml:space="preserve"> </w:t>
      </w:r>
      <w:r w:rsidRPr="0017640E">
        <w:rPr>
          <w:b/>
          <w:sz w:val="21"/>
          <w:szCs w:val="21"/>
        </w:rPr>
        <w:t>the HIV-positive donor, including</w:t>
      </w:r>
      <w:r>
        <w:rPr>
          <w:b/>
          <w:sz w:val="21"/>
          <w:szCs w:val="21"/>
        </w:rPr>
        <w:t xml:space="preserve"> </w:t>
      </w:r>
      <w:r w:rsidRPr="0017640E">
        <w:rPr>
          <w:b/>
          <w:sz w:val="21"/>
          <w:szCs w:val="21"/>
        </w:rPr>
        <w:t>accelerated organ failure, and</w:t>
      </w:r>
      <w:r>
        <w:rPr>
          <w:b/>
          <w:sz w:val="21"/>
          <w:szCs w:val="21"/>
        </w:rPr>
        <w:t xml:space="preserve"> </w:t>
      </w:r>
      <w:r w:rsidRPr="0017640E">
        <w:rPr>
          <w:b/>
          <w:sz w:val="21"/>
          <w:szCs w:val="21"/>
        </w:rPr>
        <w:t>limitations of future use of specific</w:t>
      </w:r>
      <w:r>
        <w:rPr>
          <w:b/>
          <w:sz w:val="21"/>
          <w:szCs w:val="21"/>
        </w:rPr>
        <w:t xml:space="preserve"> </w:t>
      </w:r>
      <w:r w:rsidRPr="0017640E">
        <w:rPr>
          <w:b/>
          <w:sz w:val="21"/>
          <w:szCs w:val="21"/>
        </w:rPr>
        <w:t xml:space="preserve">antiretroviral agents; </w:t>
      </w:r>
      <w:r w:rsidRPr="0017640E">
        <w:rPr>
          <w:b/>
          <w:sz w:val="21"/>
          <w:szCs w:val="21"/>
          <w:u w:val="single"/>
        </w:rPr>
        <w:t>and</w:t>
      </w:r>
      <w:r w:rsidRPr="0017640E">
        <w:rPr>
          <w:b/>
          <w:sz w:val="21"/>
          <w:szCs w:val="21"/>
        </w:rPr>
        <w:t xml:space="preserve"> (b) the</w:t>
      </w:r>
      <w:r>
        <w:rPr>
          <w:b/>
          <w:sz w:val="21"/>
          <w:szCs w:val="21"/>
        </w:rPr>
        <w:t xml:space="preserve"> </w:t>
      </w:r>
      <w:r w:rsidRPr="0017640E">
        <w:rPr>
          <w:b/>
          <w:sz w:val="21"/>
          <w:szCs w:val="21"/>
        </w:rPr>
        <w:t>unknown outcome of HIV-positive to</w:t>
      </w:r>
      <w:r>
        <w:rPr>
          <w:b/>
          <w:sz w:val="21"/>
          <w:szCs w:val="21"/>
        </w:rPr>
        <w:t xml:space="preserve"> </w:t>
      </w:r>
      <w:r w:rsidRPr="0017640E">
        <w:rPr>
          <w:b/>
          <w:sz w:val="21"/>
          <w:szCs w:val="21"/>
        </w:rPr>
        <w:t>HIV-positive organ transplantation.</w:t>
      </w:r>
    </w:p>
    <w:p w14:paraId="35AE8CF0" w14:textId="13E69C3A" w:rsidR="00F23D6B" w:rsidRDefault="0017640E" w:rsidP="00F23D6B">
      <w:pPr>
        <w:pStyle w:val="ListParagraph"/>
        <w:numPr>
          <w:ilvl w:val="0"/>
          <w:numId w:val="7"/>
        </w:numPr>
        <w:rPr>
          <w:b/>
          <w:sz w:val="21"/>
          <w:szCs w:val="21"/>
        </w:rPr>
      </w:pPr>
      <w:r w:rsidRPr="00F23D6B">
        <w:rPr>
          <w:b/>
          <w:sz w:val="21"/>
          <w:szCs w:val="21"/>
        </w:rPr>
        <w:t>Demonstrate knowledge of HIV</w:t>
      </w:r>
      <w:r>
        <w:rPr>
          <w:b/>
          <w:sz w:val="21"/>
          <w:szCs w:val="21"/>
        </w:rPr>
        <w:t xml:space="preserve"> </w:t>
      </w:r>
      <w:r w:rsidRPr="00F23D6B">
        <w:rPr>
          <w:b/>
          <w:sz w:val="21"/>
          <w:szCs w:val="21"/>
        </w:rPr>
        <w:t>infection and transplantation.</w:t>
      </w:r>
    </w:p>
    <w:p w14:paraId="11040649" w14:textId="77777777" w:rsidR="0017640E" w:rsidRDefault="0017640E" w:rsidP="0017640E">
      <w:pPr>
        <w:pStyle w:val="ListParagraph"/>
        <w:rPr>
          <w:b/>
          <w:sz w:val="21"/>
          <w:szCs w:val="21"/>
        </w:rPr>
      </w:pPr>
    </w:p>
    <w:p w14:paraId="6271CE3F" w14:textId="77777777" w:rsidR="0017640E" w:rsidRPr="0017640E" w:rsidRDefault="0017640E" w:rsidP="0017640E">
      <w:pPr>
        <w:pStyle w:val="ListParagraph"/>
        <w:rPr>
          <w:b/>
          <w:sz w:val="21"/>
          <w:szCs w:val="21"/>
        </w:rPr>
      </w:pPr>
    </w:p>
    <w:p w14:paraId="7C19024A" w14:textId="53EB74F8" w:rsidR="00F23D6B" w:rsidRPr="00F23D6B" w:rsidRDefault="0017640E" w:rsidP="00F23D6B">
      <w:pPr>
        <w:rPr>
          <w:b/>
          <w:sz w:val="28"/>
          <w:szCs w:val="28"/>
        </w:rPr>
      </w:pPr>
      <w:r>
        <w:rPr>
          <w:b/>
          <w:sz w:val="28"/>
          <w:szCs w:val="28"/>
        </w:rPr>
        <w:t>(</w:t>
      </w:r>
      <w:r w:rsidR="00F23D6B">
        <w:rPr>
          <w:b/>
          <w:sz w:val="28"/>
          <w:szCs w:val="28"/>
        </w:rPr>
        <w:t>Source: Federal Register Vol. 80, No. 227, 11/25/2015)</w:t>
      </w:r>
    </w:p>
    <w:p w14:paraId="13CE7A7B" w14:textId="6CBF4869" w:rsidR="005D65B8" w:rsidRDefault="005D65B8">
      <w:pPr>
        <w:rPr>
          <w:rFonts w:cs="Melior"/>
          <w:b/>
          <w:sz w:val="28"/>
          <w:szCs w:val="28"/>
          <w:u w:val="single"/>
        </w:rPr>
      </w:pPr>
      <w:r>
        <w:rPr>
          <w:rFonts w:cs="Melior"/>
          <w:b/>
          <w:sz w:val="28"/>
          <w:szCs w:val="28"/>
          <w:u w:val="single"/>
        </w:rPr>
        <w:br w:type="page"/>
      </w:r>
    </w:p>
    <w:p w14:paraId="64D739E9" w14:textId="77777777" w:rsidR="00756688" w:rsidRPr="00B24B84" w:rsidRDefault="00756688" w:rsidP="00756688">
      <w:pPr>
        <w:autoSpaceDE w:val="0"/>
        <w:autoSpaceDN w:val="0"/>
        <w:adjustRightInd w:val="0"/>
        <w:spacing w:after="0" w:line="240" w:lineRule="auto"/>
        <w:jc w:val="center"/>
        <w:rPr>
          <w:rFonts w:cs="Melior"/>
          <w:b/>
          <w:sz w:val="28"/>
          <w:szCs w:val="28"/>
          <w:u w:val="single"/>
        </w:rPr>
      </w:pPr>
      <w:r w:rsidRPr="00B24B84">
        <w:rPr>
          <w:rFonts w:cs="Melior"/>
          <w:b/>
          <w:sz w:val="28"/>
          <w:szCs w:val="28"/>
          <w:u w:val="single"/>
        </w:rPr>
        <w:lastRenderedPageBreak/>
        <w:t>Appendix C</w:t>
      </w:r>
    </w:p>
    <w:p w14:paraId="2FD59B21" w14:textId="77777777" w:rsidR="00756688" w:rsidRPr="0035695B" w:rsidRDefault="00756688" w:rsidP="00756688">
      <w:pPr>
        <w:autoSpaceDE w:val="0"/>
        <w:autoSpaceDN w:val="0"/>
        <w:adjustRightInd w:val="0"/>
        <w:spacing w:after="0" w:line="240" w:lineRule="auto"/>
        <w:rPr>
          <w:rFonts w:cs="Melior"/>
        </w:rPr>
      </w:pPr>
    </w:p>
    <w:p w14:paraId="30AD01A7" w14:textId="29905718" w:rsidR="00756688" w:rsidRPr="00143EF3" w:rsidRDefault="00756688" w:rsidP="00756688">
      <w:pPr>
        <w:autoSpaceDE w:val="0"/>
        <w:autoSpaceDN w:val="0"/>
        <w:adjustRightInd w:val="0"/>
        <w:spacing w:after="0" w:line="240" w:lineRule="auto"/>
        <w:rPr>
          <w:rFonts w:cs="Melior"/>
          <w:b/>
          <w:i/>
        </w:rPr>
      </w:pPr>
      <w:r w:rsidRPr="00143EF3">
        <w:rPr>
          <w:rFonts w:cs="Melior"/>
          <w:b/>
          <w:i/>
        </w:rPr>
        <w:t>The following key donor and recipient characteristics and outcome measures must be incorporated into the design of all clinical trials of HIV-positive to HIV-positive transplantation</w:t>
      </w:r>
      <w:r w:rsidR="0041539E" w:rsidRPr="00143EF3">
        <w:rPr>
          <w:rFonts w:cs="Melior"/>
          <w:b/>
          <w:i/>
        </w:rPr>
        <w:t>s</w:t>
      </w:r>
      <w:r w:rsidRPr="00143EF3">
        <w:rPr>
          <w:rFonts w:cs="Melior"/>
          <w:b/>
          <w:i/>
        </w:rPr>
        <w:t>:</w:t>
      </w:r>
    </w:p>
    <w:p w14:paraId="78253423" w14:textId="77777777" w:rsidR="00756688" w:rsidRPr="0035695B" w:rsidRDefault="00756688" w:rsidP="00756688">
      <w:pPr>
        <w:autoSpaceDE w:val="0"/>
        <w:autoSpaceDN w:val="0"/>
        <w:adjustRightInd w:val="0"/>
        <w:spacing w:after="0" w:line="240" w:lineRule="auto"/>
        <w:rPr>
          <w:rFonts w:cs="Melior"/>
        </w:rPr>
      </w:pPr>
    </w:p>
    <w:p w14:paraId="464E2610" w14:textId="77777777" w:rsidR="00756688" w:rsidRPr="00B24B84" w:rsidRDefault="00756688" w:rsidP="00756688">
      <w:pPr>
        <w:autoSpaceDE w:val="0"/>
        <w:autoSpaceDN w:val="0"/>
        <w:adjustRightInd w:val="0"/>
        <w:spacing w:after="0" w:line="240" w:lineRule="auto"/>
        <w:rPr>
          <w:rFonts w:cs="Melior"/>
          <w:b/>
          <w:sz w:val="26"/>
          <w:szCs w:val="26"/>
          <w:u w:val="single"/>
        </w:rPr>
      </w:pPr>
      <w:r w:rsidRPr="00B24B84">
        <w:rPr>
          <w:rFonts w:cs="Melior"/>
          <w:b/>
          <w:sz w:val="26"/>
          <w:szCs w:val="26"/>
          <w:u w:val="single"/>
        </w:rPr>
        <w:t>Type (living or deceased)</w:t>
      </w:r>
      <w:r>
        <w:rPr>
          <w:rFonts w:cs="Melior"/>
          <w:b/>
          <w:sz w:val="26"/>
          <w:szCs w:val="26"/>
          <w:u w:val="single"/>
        </w:rPr>
        <w:t>:</w:t>
      </w:r>
    </w:p>
    <w:p w14:paraId="3F171DB0" w14:textId="77777777" w:rsidR="00756688" w:rsidRDefault="00756688" w:rsidP="00756688">
      <w:pPr>
        <w:autoSpaceDE w:val="0"/>
        <w:autoSpaceDN w:val="0"/>
        <w:adjustRightInd w:val="0"/>
        <w:spacing w:after="0" w:line="240" w:lineRule="auto"/>
        <w:ind w:left="720"/>
        <w:rPr>
          <w:rFonts w:cs="Symbol"/>
        </w:rPr>
      </w:pPr>
    </w:p>
    <w:p w14:paraId="6ABB0354" w14:textId="7EE64F83" w:rsidR="00756688" w:rsidRPr="00346D4A" w:rsidRDefault="00756688" w:rsidP="00122893">
      <w:pPr>
        <w:pStyle w:val="ListParagraph"/>
        <w:numPr>
          <w:ilvl w:val="0"/>
          <w:numId w:val="12"/>
        </w:numPr>
        <w:autoSpaceDE w:val="0"/>
        <w:autoSpaceDN w:val="0"/>
        <w:adjustRightInd w:val="0"/>
        <w:spacing w:after="0" w:line="240" w:lineRule="auto"/>
        <w:rPr>
          <w:rFonts w:cs="Melior"/>
          <w:b/>
          <w:sz w:val="21"/>
          <w:szCs w:val="21"/>
        </w:rPr>
      </w:pPr>
      <w:r w:rsidRPr="00346D4A">
        <w:rPr>
          <w:rFonts w:cs="Melior"/>
          <w:b/>
          <w:sz w:val="21"/>
          <w:szCs w:val="21"/>
        </w:rPr>
        <w:t>HIV status (HIV-positive new</w:t>
      </w:r>
      <w:r w:rsidR="00205147" w:rsidRPr="00346D4A">
        <w:rPr>
          <w:rFonts w:cs="Melior"/>
          <w:b/>
          <w:sz w:val="21"/>
          <w:szCs w:val="21"/>
        </w:rPr>
        <w:t xml:space="preserve"> </w:t>
      </w:r>
      <w:r w:rsidRPr="00346D4A">
        <w:rPr>
          <w:rFonts w:cs="Melior"/>
          <w:b/>
          <w:sz w:val="21"/>
          <w:szCs w:val="21"/>
        </w:rPr>
        <w:t>diagnosis, HIV-positive known</w:t>
      </w:r>
      <w:r w:rsidR="00BC272E" w:rsidRPr="00346D4A">
        <w:rPr>
          <w:rFonts w:cs="Melior"/>
          <w:b/>
          <w:sz w:val="21"/>
          <w:szCs w:val="21"/>
        </w:rPr>
        <w:t xml:space="preserve"> </w:t>
      </w:r>
      <w:r w:rsidRPr="00346D4A">
        <w:rPr>
          <w:rFonts w:cs="Melior"/>
          <w:b/>
          <w:sz w:val="21"/>
          <w:szCs w:val="21"/>
        </w:rPr>
        <w:t>diagnosis)</w:t>
      </w:r>
      <w:r w:rsidR="00BC272E" w:rsidRPr="00346D4A">
        <w:rPr>
          <w:rFonts w:cs="Melior"/>
          <w:b/>
          <w:sz w:val="21"/>
          <w:szCs w:val="21"/>
        </w:rPr>
        <w:t>;</w:t>
      </w:r>
    </w:p>
    <w:p w14:paraId="237B8DE0" w14:textId="519AB30B" w:rsidR="00756688" w:rsidRPr="00346D4A" w:rsidRDefault="00756688" w:rsidP="00D27BD7">
      <w:pPr>
        <w:pStyle w:val="ListParagraph"/>
        <w:numPr>
          <w:ilvl w:val="0"/>
          <w:numId w:val="12"/>
        </w:numPr>
        <w:autoSpaceDE w:val="0"/>
        <w:autoSpaceDN w:val="0"/>
        <w:adjustRightInd w:val="0"/>
        <w:spacing w:after="0" w:line="240" w:lineRule="auto"/>
        <w:rPr>
          <w:rFonts w:cs="Melior"/>
          <w:b/>
          <w:sz w:val="21"/>
          <w:szCs w:val="21"/>
        </w:rPr>
      </w:pPr>
      <w:r w:rsidRPr="00346D4A">
        <w:rPr>
          <w:rFonts w:cs="Melior"/>
          <w:b/>
          <w:sz w:val="21"/>
          <w:szCs w:val="21"/>
        </w:rPr>
        <w:t>CD4+ T-cell count</w:t>
      </w:r>
      <w:r w:rsidR="00BC272E" w:rsidRPr="00346D4A">
        <w:rPr>
          <w:rFonts w:cs="Melior"/>
          <w:b/>
          <w:sz w:val="21"/>
          <w:szCs w:val="21"/>
        </w:rPr>
        <w:t>;</w:t>
      </w:r>
    </w:p>
    <w:p w14:paraId="55FE947A" w14:textId="36D3912D" w:rsidR="00756688" w:rsidRPr="00346D4A" w:rsidRDefault="00756688" w:rsidP="00D27BD7">
      <w:pPr>
        <w:pStyle w:val="ListParagraph"/>
        <w:numPr>
          <w:ilvl w:val="0"/>
          <w:numId w:val="12"/>
        </w:numPr>
        <w:autoSpaceDE w:val="0"/>
        <w:autoSpaceDN w:val="0"/>
        <w:adjustRightInd w:val="0"/>
        <w:spacing w:after="0" w:line="240" w:lineRule="auto"/>
        <w:rPr>
          <w:rFonts w:cs="Melior"/>
          <w:b/>
          <w:sz w:val="21"/>
          <w:szCs w:val="21"/>
        </w:rPr>
      </w:pPr>
      <w:r w:rsidRPr="00346D4A">
        <w:rPr>
          <w:rFonts w:cs="Melior"/>
          <w:b/>
          <w:sz w:val="21"/>
          <w:szCs w:val="21"/>
        </w:rPr>
        <w:t>Co-infection (HCV, HBV)</w:t>
      </w:r>
      <w:r w:rsidR="00BC272E" w:rsidRPr="00346D4A">
        <w:rPr>
          <w:rFonts w:cs="Melior"/>
          <w:b/>
          <w:sz w:val="21"/>
          <w:szCs w:val="21"/>
        </w:rPr>
        <w:t>;</w:t>
      </w:r>
    </w:p>
    <w:p w14:paraId="2292FED0" w14:textId="6D753F91" w:rsidR="00756688" w:rsidRPr="00346D4A" w:rsidRDefault="00756688" w:rsidP="00D27BD7">
      <w:pPr>
        <w:pStyle w:val="ListParagraph"/>
        <w:numPr>
          <w:ilvl w:val="0"/>
          <w:numId w:val="12"/>
        </w:numPr>
        <w:autoSpaceDE w:val="0"/>
        <w:autoSpaceDN w:val="0"/>
        <w:adjustRightInd w:val="0"/>
        <w:spacing w:after="0" w:line="240" w:lineRule="auto"/>
        <w:rPr>
          <w:rFonts w:cs="Melior"/>
          <w:b/>
          <w:sz w:val="21"/>
          <w:szCs w:val="21"/>
        </w:rPr>
      </w:pPr>
      <w:r w:rsidRPr="00346D4A">
        <w:rPr>
          <w:rFonts w:cs="Melior"/>
          <w:b/>
          <w:sz w:val="21"/>
          <w:szCs w:val="21"/>
        </w:rPr>
        <w:t>HIV viral load</w:t>
      </w:r>
      <w:r w:rsidR="00BC272E" w:rsidRPr="00346D4A">
        <w:rPr>
          <w:rFonts w:cs="Melior"/>
          <w:b/>
          <w:sz w:val="21"/>
          <w:szCs w:val="21"/>
        </w:rPr>
        <w:t>;</w:t>
      </w:r>
    </w:p>
    <w:p w14:paraId="7C463A04" w14:textId="46147DCF" w:rsidR="00756688" w:rsidRPr="00346D4A" w:rsidRDefault="00756688" w:rsidP="00D27BD7">
      <w:pPr>
        <w:pStyle w:val="ListParagraph"/>
        <w:numPr>
          <w:ilvl w:val="0"/>
          <w:numId w:val="12"/>
        </w:numPr>
        <w:autoSpaceDE w:val="0"/>
        <w:autoSpaceDN w:val="0"/>
        <w:adjustRightInd w:val="0"/>
        <w:spacing w:after="0" w:line="240" w:lineRule="auto"/>
        <w:rPr>
          <w:rFonts w:cs="Melior"/>
          <w:b/>
          <w:sz w:val="21"/>
          <w:szCs w:val="21"/>
        </w:rPr>
      </w:pPr>
      <w:r w:rsidRPr="00346D4A">
        <w:rPr>
          <w:rFonts w:cs="Melior"/>
          <w:b/>
          <w:sz w:val="21"/>
          <w:szCs w:val="21"/>
        </w:rPr>
        <w:t>ART resistance</w:t>
      </w:r>
      <w:r w:rsidR="00BC272E" w:rsidRPr="00346D4A">
        <w:rPr>
          <w:rFonts w:cs="Melior"/>
          <w:b/>
          <w:sz w:val="21"/>
          <w:szCs w:val="21"/>
        </w:rPr>
        <w:t>; and</w:t>
      </w:r>
    </w:p>
    <w:p w14:paraId="2D2C9E18" w14:textId="1B2B49D7" w:rsidR="00756688" w:rsidRPr="00346D4A" w:rsidRDefault="00756688" w:rsidP="00D27BD7">
      <w:pPr>
        <w:pStyle w:val="ListParagraph"/>
        <w:numPr>
          <w:ilvl w:val="0"/>
          <w:numId w:val="12"/>
        </w:numPr>
        <w:autoSpaceDE w:val="0"/>
        <w:autoSpaceDN w:val="0"/>
        <w:adjustRightInd w:val="0"/>
        <w:spacing w:after="0" w:line="240" w:lineRule="auto"/>
        <w:rPr>
          <w:rFonts w:cs="Melior"/>
          <w:b/>
          <w:sz w:val="21"/>
          <w:szCs w:val="21"/>
        </w:rPr>
      </w:pPr>
      <w:r w:rsidRPr="00346D4A">
        <w:rPr>
          <w:rFonts w:cs="Melior"/>
          <w:b/>
          <w:sz w:val="21"/>
          <w:szCs w:val="21"/>
        </w:rPr>
        <w:t>Pre-transplant donor allograft biopsy</w:t>
      </w:r>
      <w:r w:rsidR="00BC272E" w:rsidRPr="00346D4A">
        <w:rPr>
          <w:rFonts w:cs="Melior"/>
          <w:b/>
          <w:sz w:val="21"/>
          <w:szCs w:val="21"/>
        </w:rPr>
        <w:t>.</w:t>
      </w:r>
    </w:p>
    <w:p w14:paraId="23B9D543" w14:textId="77777777" w:rsidR="00756688" w:rsidRDefault="00756688" w:rsidP="00756688">
      <w:pPr>
        <w:autoSpaceDE w:val="0"/>
        <w:autoSpaceDN w:val="0"/>
        <w:adjustRightInd w:val="0"/>
        <w:spacing w:after="0" w:line="240" w:lineRule="auto"/>
        <w:rPr>
          <w:rFonts w:cs="Melior-Italic"/>
          <w:i/>
          <w:iCs/>
        </w:rPr>
      </w:pPr>
    </w:p>
    <w:p w14:paraId="2B373D50" w14:textId="77777777" w:rsidR="00756688" w:rsidRPr="00B24B84" w:rsidRDefault="00756688" w:rsidP="00756688">
      <w:pPr>
        <w:autoSpaceDE w:val="0"/>
        <w:autoSpaceDN w:val="0"/>
        <w:adjustRightInd w:val="0"/>
        <w:spacing w:after="0" w:line="240" w:lineRule="auto"/>
        <w:rPr>
          <w:rFonts w:cs="Melior-Italic"/>
          <w:b/>
          <w:iCs/>
          <w:sz w:val="26"/>
          <w:szCs w:val="26"/>
          <w:u w:val="single"/>
        </w:rPr>
      </w:pPr>
      <w:r w:rsidRPr="00B24B84">
        <w:rPr>
          <w:rFonts w:cs="Melior-Italic"/>
          <w:b/>
          <w:iCs/>
          <w:sz w:val="26"/>
          <w:szCs w:val="26"/>
          <w:u w:val="single"/>
        </w:rPr>
        <w:t>Living Donors (6, 12, and 24 Months Following Organ Donation)</w:t>
      </w:r>
      <w:r>
        <w:rPr>
          <w:rFonts w:cs="Melior-Italic"/>
          <w:b/>
          <w:iCs/>
          <w:sz w:val="26"/>
          <w:szCs w:val="26"/>
          <w:u w:val="single"/>
        </w:rPr>
        <w:t>:</w:t>
      </w:r>
    </w:p>
    <w:p w14:paraId="0137F4F7" w14:textId="77777777" w:rsidR="00756688" w:rsidRDefault="00756688" w:rsidP="00756688">
      <w:pPr>
        <w:autoSpaceDE w:val="0"/>
        <w:autoSpaceDN w:val="0"/>
        <w:adjustRightInd w:val="0"/>
        <w:spacing w:after="0" w:line="240" w:lineRule="auto"/>
        <w:ind w:left="720"/>
        <w:rPr>
          <w:rFonts w:cs="Symbol"/>
        </w:rPr>
      </w:pPr>
    </w:p>
    <w:p w14:paraId="2EEAA036" w14:textId="5B8F9CF8" w:rsidR="00756688" w:rsidRPr="00346D4A" w:rsidRDefault="00756688" w:rsidP="00B24DF9">
      <w:pPr>
        <w:pStyle w:val="ListParagraph"/>
        <w:numPr>
          <w:ilvl w:val="0"/>
          <w:numId w:val="13"/>
        </w:numPr>
        <w:autoSpaceDE w:val="0"/>
        <w:autoSpaceDN w:val="0"/>
        <w:adjustRightInd w:val="0"/>
        <w:spacing w:after="0" w:line="240" w:lineRule="auto"/>
        <w:rPr>
          <w:rFonts w:cs="Melior"/>
          <w:b/>
          <w:sz w:val="21"/>
          <w:szCs w:val="21"/>
        </w:rPr>
      </w:pPr>
      <w:r w:rsidRPr="00346D4A">
        <w:rPr>
          <w:rFonts w:cs="Melior"/>
          <w:b/>
          <w:sz w:val="21"/>
          <w:szCs w:val="21"/>
        </w:rPr>
        <w:t>Progression to renal insufficiency in</w:t>
      </w:r>
      <w:r w:rsidR="00BC272E" w:rsidRPr="00346D4A">
        <w:rPr>
          <w:rFonts w:cs="Melior"/>
          <w:b/>
          <w:sz w:val="21"/>
          <w:szCs w:val="21"/>
        </w:rPr>
        <w:t xml:space="preserve"> </w:t>
      </w:r>
      <w:r w:rsidRPr="00346D4A">
        <w:rPr>
          <w:rFonts w:cs="Melior"/>
          <w:b/>
          <w:sz w:val="21"/>
          <w:szCs w:val="21"/>
        </w:rPr>
        <w:t>kidney donors:</w:t>
      </w:r>
    </w:p>
    <w:p w14:paraId="51E6A2F1" w14:textId="3E794F34" w:rsidR="00756688" w:rsidRPr="00346D4A" w:rsidRDefault="00756688" w:rsidP="00BC272E">
      <w:pPr>
        <w:pStyle w:val="ListParagraph"/>
        <w:numPr>
          <w:ilvl w:val="1"/>
          <w:numId w:val="13"/>
        </w:numPr>
        <w:autoSpaceDE w:val="0"/>
        <w:autoSpaceDN w:val="0"/>
        <w:adjustRightInd w:val="0"/>
        <w:spacing w:after="0" w:line="240" w:lineRule="auto"/>
        <w:rPr>
          <w:rFonts w:cs="Melior"/>
          <w:b/>
          <w:sz w:val="21"/>
          <w:szCs w:val="21"/>
        </w:rPr>
      </w:pPr>
      <w:r w:rsidRPr="00346D4A">
        <w:rPr>
          <w:rFonts w:cs="Melior"/>
          <w:b/>
          <w:sz w:val="21"/>
          <w:szCs w:val="21"/>
        </w:rPr>
        <w:t>Proteinuria defined as urinary</w:t>
      </w:r>
      <w:r w:rsidR="00BC272E" w:rsidRPr="00346D4A">
        <w:rPr>
          <w:rFonts w:cs="Melior"/>
          <w:b/>
          <w:sz w:val="21"/>
          <w:szCs w:val="21"/>
        </w:rPr>
        <w:t xml:space="preserve"> </w:t>
      </w:r>
      <w:r w:rsidRPr="00346D4A">
        <w:rPr>
          <w:rFonts w:cs="Melior"/>
          <w:b/>
          <w:sz w:val="21"/>
          <w:szCs w:val="21"/>
        </w:rPr>
        <w:t>protein excretion &gt;150 mg/day or</w:t>
      </w:r>
      <w:r w:rsidR="00BC272E" w:rsidRPr="00346D4A">
        <w:rPr>
          <w:rFonts w:cs="Melior"/>
          <w:b/>
          <w:sz w:val="21"/>
          <w:szCs w:val="21"/>
        </w:rPr>
        <w:t xml:space="preserve"> </w:t>
      </w:r>
      <w:r w:rsidRPr="00346D4A">
        <w:rPr>
          <w:rFonts w:cs="Melior"/>
          <w:b/>
          <w:sz w:val="21"/>
          <w:szCs w:val="21"/>
        </w:rPr>
        <w:t>urine protein/creatinine ratio &gt;0.2</w:t>
      </w:r>
      <w:r w:rsidR="008C7636" w:rsidRPr="00346D4A">
        <w:rPr>
          <w:rFonts w:cs="Melior"/>
          <w:b/>
          <w:sz w:val="21"/>
          <w:szCs w:val="21"/>
        </w:rPr>
        <w:t>;</w:t>
      </w:r>
    </w:p>
    <w:p w14:paraId="1805CE19" w14:textId="7BBBB795" w:rsidR="00756688" w:rsidRPr="00346D4A" w:rsidRDefault="00756688" w:rsidP="00BC272E">
      <w:pPr>
        <w:pStyle w:val="ListParagraph"/>
        <w:numPr>
          <w:ilvl w:val="1"/>
          <w:numId w:val="13"/>
        </w:numPr>
        <w:autoSpaceDE w:val="0"/>
        <w:autoSpaceDN w:val="0"/>
        <w:adjustRightInd w:val="0"/>
        <w:spacing w:after="0" w:line="240" w:lineRule="auto"/>
        <w:rPr>
          <w:rFonts w:cs="Melior"/>
          <w:b/>
          <w:sz w:val="21"/>
          <w:szCs w:val="21"/>
        </w:rPr>
      </w:pPr>
      <w:proofErr w:type="spellStart"/>
      <w:r w:rsidRPr="00346D4A">
        <w:rPr>
          <w:rFonts w:cs="Melior"/>
          <w:b/>
          <w:sz w:val="21"/>
          <w:szCs w:val="21"/>
        </w:rPr>
        <w:t>eGFR</w:t>
      </w:r>
      <w:proofErr w:type="spellEnd"/>
      <w:r w:rsidRPr="00346D4A">
        <w:rPr>
          <w:rFonts w:cs="Melior"/>
          <w:b/>
          <w:sz w:val="21"/>
          <w:szCs w:val="21"/>
        </w:rPr>
        <w:t xml:space="preserve"> &lt;60 mL/minute/1.73m2</w:t>
      </w:r>
      <w:r w:rsidR="00BC272E" w:rsidRPr="00346D4A">
        <w:rPr>
          <w:rFonts w:cs="Melior"/>
          <w:b/>
          <w:sz w:val="21"/>
          <w:szCs w:val="21"/>
        </w:rPr>
        <w:t>;</w:t>
      </w:r>
    </w:p>
    <w:p w14:paraId="0E2EA9A3" w14:textId="26CECA70" w:rsidR="00756688" w:rsidRPr="00346D4A" w:rsidRDefault="00756688" w:rsidP="00C15716">
      <w:pPr>
        <w:pStyle w:val="ListParagraph"/>
        <w:numPr>
          <w:ilvl w:val="0"/>
          <w:numId w:val="13"/>
        </w:numPr>
        <w:autoSpaceDE w:val="0"/>
        <w:autoSpaceDN w:val="0"/>
        <w:adjustRightInd w:val="0"/>
        <w:spacing w:after="0" w:line="240" w:lineRule="auto"/>
        <w:rPr>
          <w:rFonts w:cs="Melior"/>
          <w:b/>
          <w:sz w:val="21"/>
          <w:szCs w:val="21"/>
        </w:rPr>
      </w:pPr>
      <w:r w:rsidRPr="00346D4A">
        <w:rPr>
          <w:rFonts w:cs="Melior"/>
          <w:b/>
          <w:sz w:val="21"/>
          <w:szCs w:val="21"/>
        </w:rPr>
        <w:t>Progression to hepatic insufficiency in</w:t>
      </w:r>
      <w:r w:rsidR="00BC272E" w:rsidRPr="00346D4A">
        <w:rPr>
          <w:rFonts w:cs="Melior"/>
          <w:b/>
          <w:sz w:val="21"/>
          <w:szCs w:val="21"/>
        </w:rPr>
        <w:t xml:space="preserve"> </w:t>
      </w:r>
      <w:r w:rsidRPr="00346D4A">
        <w:rPr>
          <w:rFonts w:cs="Melior"/>
          <w:b/>
          <w:sz w:val="21"/>
          <w:szCs w:val="21"/>
        </w:rPr>
        <w:t>liver donors (INR &gt;1.5 and/or total</w:t>
      </w:r>
      <w:r w:rsidR="00BC272E" w:rsidRPr="00346D4A">
        <w:rPr>
          <w:rFonts w:cs="Melior"/>
          <w:b/>
          <w:sz w:val="21"/>
          <w:szCs w:val="21"/>
        </w:rPr>
        <w:t xml:space="preserve"> </w:t>
      </w:r>
      <w:r w:rsidRPr="00346D4A">
        <w:rPr>
          <w:rFonts w:cs="Melior"/>
          <w:b/>
          <w:sz w:val="21"/>
          <w:szCs w:val="21"/>
        </w:rPr>
        <w:t>bilirubin &gt;2.0)</w:t>
      </w:r>
      <w:r w:rsidR="00BC272E" w:rsidRPr="00346D4A">
        <w:rPr>
          <w:rFonts w:cs="Melior"/>
          <w:b/>
          <w:sz w:val="21"/>
          <w:szCs w:val="21"/>
        </w:rPr>
        <w:t>;</w:t>
      </w:r>
    </w:p>
    <w:p w14:paraId="24E8BEB4" w14:textId="5237CD7F" w:rsidR="00756688" w:rsidRPr="00346D4A" w:rsidRDefault="00756688" w:rsidP="002A3305">
      <w:pPr>
        <w:pStyle w:val="ListParagraph"/>
        <w:numPr>
          <w:ilvl w:val="0"/>
          <w:numId w:val="13"/>
        </w:numPr>
        <w:autoSpaceDE w:val="0"/>
        <w:autoSpaceDN w:val="0"/>
        <w:adjustRightInd w:val="0"/>
        <w:spacing w:after="0" w:line="240" w:lineRule="auto"/>
        <w:rPr>
          <w:rFonts w:cs="Melior"/>
          <w:b/>
          <w:sz w:val="21"/>
          <w:szCs w:val="21"/>
        </w:rPr>
      </w:pPr>
      <w:r w:rsidRPr="00346D4A">
        <w:rPr>
          <w:rFonts w:cs="Melior"/>
          <w:b/>
          <w:sz w:val="21"/>
          <w:szCs w:val="21"/>
        </w:rPr>
        <w:t>Change in ART regimen as a result of</w:t>
      </w:r>
      <w:r w:rsidR="00BC272E" w:rsidRPr="00346D4A">
        <w:rPr>
          <w:rFonts w:cs="Melior"/>
          <w:b/>
          <w:sz w:val="21"/>
          <w:szCs w:val="21"/>
        </w:rPr>
        <w:t xml:space="preserve"> </w:t>
      </w:r>
      <w:r w:rsidRPr="00346D4A">
        <w:rPr>
          <w:rFonts w:cs="Melior"/>
          <w:b/>
          <w:sz w:val="21"/>
          <w:szCs w:val="21"/>
        </w:rPr>
        <w:t>decreased organ function</w:t>
      </w:r>
      <w:r w:rsidR="00BC272E" w:rsidRPr="00346D4A">
        <w:rPr>
          <w:rFonts w:cs="Melior"/>
          <w:b/>
          <w:sz w:val="21"/>
          <w:szCs w:val="21"/>
        </w:rPr>
        <w:t>;</w:t>
      </w:r>
    </w:p>
    <w:p w14:paraId="0FE8B438" w14:textId="41D35714" w:rsidR="00756688" w:rsidRPr="00346D4A" w:rsidRDefault="00756688" w:rsidP="00D27BD7">
      <w:pPr>
        <w:pStyle w:val="ListParagraph"/>
        <w:numPr>
          <w:ilvl w:val="0"/>
          <w:numId w:val="13"/>
        </w:numPr>
        <w:autoSpaceDE w:val="0"/>
        <w:autoSpaceDN w:val="0"/>
        <w:adjustRightInd w:val="0"/>
        <w:spacing w:after="0" w:line="240" w:lineRule="auto"/>
        <w:rPr>
          <w:rFonts w:cs="Melior"/>
          <w:b/>
          <w:sz w:val="21"/>
          <w:szCs w:val="21"/>
        </w:rPr>
      </w:pPr>
      <w:r w:rsidRPr="00346D4A">
        <w:rPr>
          <w:rFonts w:cs="Melior"/>
          <w:b/>
          <w:sz w:val="21"/>
          <w:szCs w:val="21"/>
        </w:rPr>
        <w:t>Progression to AIDS</w:t>
      </w:r>
      <w:r w:rsidR="00BC272E" w:rsidRPr="00346D4A">
        <w:rPr>
          <w:rFonts w:cs="Melior"/>
          <w:b/>
          <w:sz w:val="21"/>
          <w:szCs w:val="21"/>
        </w:rPr>
        <w:t>;</w:t>
      </w:r>
    </w:p>
    <w:p w14:paraId="2A2C5536" w14:textId="3FB0D50E" w:rsidR="00756688" w:rsidRPr="00346D4A" w:rsidRDefault="00756688" w:rsidP="00EE5B0F">
      <w:pPr>
        <w:pStyle w:val="ListParagraph"/>
        <w:numPr>
          <w:ilvl w:val="0"/>
          <w:numId w:val="13"/>
        </w:numPr>
        <w:autoSpaceDE w:val="0"/>
        <w:autoSpaceDN w:val="0"/>
        <w:adjustRightInd w:val="0"/>
        <w:spacing w:after="0" w:line="240" w:lineRule="auto"/>
        <w:rPr>
          <w:rFonts w:cs="Melior"/>
          <w:b/>
          <w:sz w:val="21"/>
          <w:szCs w:val="21"/>
        </w:rPr>
      </w:pPr>
      <w:r w:rsidRPr="00346D4A">
        <w:rPr>
          <w:rFonts w:cs="Melior"/>
          <w:b/>
          <w:sz w:val="21"/>
          <w:szCs w:val="21"/>
        </w:rPr>
        <w:t>Failure to suppress viral replication</w:t>
      </w:r>
      <w:r w:rsidR="00BC272E" w:rsidRPr="00346D4A">
        <w:rPr>
          <w:rFonts w:cs="Melior"/>
          <w:b/>
          <w:sz w:val="21"/>
          <w:szCs w:val="21"/>
        </w:rPr>
        <w:t xml:space="preserve"> </w:t>
      </w:r>
      <w:r w:rsidRPr="00346D4A">
        <w:rPr>
          <w:rFonts w:cs="Melior"/>
          <w:b/>
          <w:sz w:val="21"/>
          <w:szCs w:val="21"/>
        </w:rPr>
        <w:t>(persistent viremia)</w:t>
      </w:r>
      <w:r w:rsidR="00BC272E" w:rsidRPr="00346D4A">
        <w:rPr>
          <w:rFonts w:cs="Melior"/>
          <w:b/>
          <w:sz w:val="21"/>
          <w:szCs w:val="21"/>
        </w:rPr>
        <w:t>; and</w:t>
      </w:r>
    </w:p>
    <w:p w14:paraId="01CDCDAA" w14:textId="2EF6F724" w:rsidR="00756688" w:rsidRPr="00346D4A" w:rsidRDefault="00756688" w:rsidP="00D27BD7">
      <w:pPr>
        <w:pStyle w:val="ListParagraph"/>
        <w:numPr>
          <w:ilvl w:val="0"/>
          <w:numId w:val="13"/>
        </w:numPr>
        <w:autoSpaceDE w:val="0"/>
        <w:autoSpaceDN w:val="0"/>
        <w:adjustRightInd w:val="0"/>
        <w:spacing w:after="0" w:line="240" w:lineRule="auto"/>
        <w:rPr>
          <w:rFonts w:cs="Melior"/>
          <w:b/>
          <w:sz w:val="21"/>
          <w:szCs w:val="21"/>
        </w:rPr>
      </w:pPr>
      <w:r w:rsidRPr="00346D4A">
        <w:rPr>
          <w:rFonts w:cs="Melior"/>
          <w:b/>
          <w:sz w:val="21"/>
          <w:szCs w:val="21"/>
        </w:rPr>
        <w:t>Death</w:t>
      </w:r>
      <w:r w:rsidR="00143EF3">
        <w:rPr>
          <w:rFonts w:cs="Melior"/>
          <w:b/>
          <w:sz w:val="21"/>
          <w:szCs w:val="21"/>
        </w:rPr>
        <w:t>.</w:t>
      </w:r>
    </w:p>
    <w:p w14:paraId="4F57AC74" w14:textId="77777777" w:rsidR="00756688" w:rsidRDefault="00756688" w:rsidP="00756688">
      <w:pPr>
        <w:autoSpaceDE w:val="0"/>
        <w:autoSpaceDN w:val="0"/>
        <w:adjustRightInd w:val="0"/>
        <w:spacing w:after="0" w:line="240" w:lineRule="auto"/>
        <w:rPr>
          <w:rFonts w:cs="Melior-Italic"/>
          <w:i/>
          <w:iCs/>
        </w:rPr>
      </w:pPr>
    </w:p>
    <w:p w14:paraId="717FB2BC" w14:textId="77777777" w:rsidR="00756688" w:rsidRPr="00B24B84" w:rsidRDefault="00756688" w:rsidP="00756688">
      <w:pPr>
        <w:autoSpaceDE w:val="0"/>
        <w:autoSpaceDN w:val="0"/>
        <w:adjustRightInd w:val="0"/>
        <w:spacing w:after="0" w:line="240" w:lineRule="auto"/>
        <w:rPr>
          <w:rFonts w:cs="Melior-Italic"/>
          <w:b/>
          <w:iCs/>
          <w:sz w:val="26"/>
          <w:szCs w:val="26"/>
          <w:u w:val="single"/>
        </w:rPr>
      </w:pPr>
      <w:r w:rsidRPr="00B24B84">
        <w:rPr>
          <w:rFonts w:cs="Melior-Italic"/>
          <w:b/>
          <w:iCs/>
          <w:sz w:val="26"/>
          <w:szCs w:val="26"/>
          <w:u w:val="single"/>
        </w:rPr>
        <w:t>Transplant Recipients</w:t>
      </w:r>
      <w:r>
        <w:rPr>
          <w:rFonts w:cs="Melior-Italic"/>
          <w:b/>
          <w:iCs/>
          <w:sz w:val="26"/>
          <w:szCs w:val="26"/>
          <w:u w:val="single"/>
        </w:rPr>
        <w:t>:</w:t>
      </w:r>
    </w:p>
    <w:p w14:paraId="4AF8C9E9" w14:textId="77777777" w:rsidR="00756688" w:rsidRDefault="00756688" w:rsidP="00756688">
      <w:pPr>
        <w:autoSpaceDE w:val="0"/>
        <w:autoSpaceDN w:val="0"/>
        <w:adjustRightInd w:val="0"/>
        <w:spacing w:after="0" w:line="240" w:lineRule="auto"/>
        <w:rPr>
          <w:rFonts w:cs="Symbol"/>
        </w:rPr>
      </w:pPr>
    </w:p>
    <w:p w14:paraId="4566D3F9" w14:textId="6EB26D26" w:rsidR="00756688" w:rsidRPr="00346D4A" w:rsidRDefault="00756688" w:rsidP="00D27BD7">
      <w:pPr>
        <w:pStyle w:val="ListParagraph"/>
        <w:numPr>
          <w:ilvl w:val="0"/>
          <w:numId w:val="14"/>
        </w:numPr>
        <w:autoSpaceDE w:val="0"/>
        <w:autoSpaceDN w:val="0"/>
        <w:adjustRightInd w:val="0"/>
        <w:spacing w:after="0" w:line="240" w:lineRule="auto"/>
        <w:rPr>
          <w:rFonts w:cs="Melior"/>
          <w:b/>
          <w:sz w:val="21"/>
          <w:szCs w:val="21"/>
        </w:rPr>
      </w:pPr>
      <w:r w:rsidRPr="00346D4A">
        <w:rPr>
          <w:rFonts w:cs="Melior"/>
          <w:b/>
          <w:sz w:val="21"/>
          <w:szCs w:val="21"/>
        </w:rPr>
        <w:t>Rejection rate (annual up to 5 years)</w:t>
      </w:r>
      <w:r w:rsidR="008E4C18" w:rsidRPr="00346D4A">
        <w:rPr>
          <w:rFonts w:cs="Melior"/>
          <w:b/>
          <w:sz w:val="21"/>
          <w:szCs w:val="21"/>
        </w:rPr>
        <w:t>;</w:t>
      </w:r>
    </w:p>
    <w:p w14:paraId="14DED99E" w14:textId="4E124C0E" w:rsidR="00756688" w:rsidRPr="00346D4A" w:rsidRDefault="00756688" w:rsidP="00D27BD7">
      <w:pPr>
        <w:pStyle w:val="ListParagraph"/>
        <w:numPr>
          <w:ilvl w:val="0"/>
          <w:numId w:val="14"/>
        </w:numPr>
        <w:autoSpaceDE w:val="0"/>
        <w:autoSpaceDN w:val="0"/>
        <w:adjustRightInd w:val="0"/>
        <w:spacing w:after="0" w:line="240" w:lineRule="auto"/>
        <w:rPr>
          <w:rFonts w:cs="Melior"/>
          <w:b/>
          <w:sz w:val="21"/>
          <w:szCs w:val="21"/>
        </w:rPr>
      </w:pPr>
      <w:r w:rsidRPr="00346D4A">
        <w:rPr>
          <w:rFonts w:cs="Melior"/>
          <w:b/>
          <w:sz w:val="21"/>
          <w:szCs w:val="21"/>
        </w:rPr>
        <w:t>Progression to AIDS</w:t>
      </w:r>
      <w:r w:rsidR="008E4C18" w:rsidRPr="00346D4A">
        <w:rPr>
          <w:rFonts w:cs="Melior"/>
          <w:b/>
          <w:sz w:val="21"/>
          <w:szCs w:val="21"/>
        </w:rPr>
        <w:t>;</w:t>
      </w:r>
    </w:p>
    <w:p w14:paraId="444F33ED" w14:textId="2EFC9BAA" w:rsidR="00756688" w:rsidRPr="00346D4A" w:rsidRDefault="00756688" w:rsidP="00D27BD7">
      <w:pPr>
        <w:pStyle w:val="ListParagraph"/>
        <w:numPr>
          <w:ilvl w:val="0"/>
          <w:numId w:val="14"/>
        </w:numPr>
        <w:autoSpaceDE w:val="0"/>
        <w:autoSpaceDN w:val="0"/>
        <w:adjustRightInd w:val="0"/>
        <w:spacing w:after="0" w:line="240" w:lineRule="auto"/>
        <w:rPr>
          <w:rFonts w:cs="Melior"/>
          <w:b/>
          <w:sz w:val="21"/>
          <w:szCs w:val="21"/>
        </w:rPr>
      </w:pPr>
      <w:r w:rsidRPr="00346D4A">
        <w:rPr>
          <w:rFonts w:cs="Melior"/>
          <w:b/>
          <w:sz w:val="21"/>
          <w:szCs w:val="21"/>
        </w:rPr>
        <w:t>New OIs</w:t>
      </w:r>
      <w:r w:rsidR="008E4C18" w:rsidRPr="00346D4A">
        <w:rPr>
          <w:rFonts w:cs="Melior"/>
          <w:b/>
          <w:sz w:val="21"/>
          <w:szCs w:val="21"/>
        </w:rPr>
        <w:t>;</w:t>
      </w:r>
    </w:p>
    <w:p w14:paraId="51C57897" w14:textId="2DB5FC17" w:rsidR="00756688" w:rsidRPr="00346D4A" w:rsidRDefault="00756688" w:rsidP="00C90CF5">
      <w:pPr>
        <w:pStyle w:val="ListParagraph"/>
        <w:numPr>
          <w:ilvl w:val="0"/>
          <w:numId w:val="14"/>
        </w:numPr>
        <w:autoSpaceDE w:val="0"/>
        <w:autoSpaceDN w:val="0"/>
        <w:adjustRightInd w:val="0"/>
        <w:spacing w:after="0" w:line="240" w:lineRule="auto"/>
        <w:rPr>
          <w:rFonts w:cs="Melior"/>
          <w:b/>
          <w:sz w:val="21"/>
          <w:szCs w:val="21"/>
        </w:rPr>
      </w:pPr>
      <w:r w:rsidRPr="00346D4A">
        <w:rPr>
          <w:rFonts w:cs="Melior"/>
          <w:b/>
          <w:sz w:val="21"/>
          <w:szCs w:val="21"/>
        </w:rPr>
        <w:t>Failure to suppress viral replication</w:t>
      </w:r>
      <w:r w:rsidR="008E4C18" w:rsidRPr="00346D4A">
        <w:rPr>
          <w:rFonts w:cs="Melior"/>
          <w:b/>
          <w:sz w:val="21"/>
          <w:szCs w:val="21"/>
        </w:rPr>
        <w:t xml:space="preserve"> </w:t>
      </w:r>
      <w:r w:rsidRPr="00346D4A">
        <w:rPr>
          <w:rFonts w:cs="Melior"/>
          <w:b/>
          <w:sz w:val="21"/>
          <w:szCs w:val="21"/>
        </w:rPr>
        <w:t>(persistent viremia)</w:t>
      </w:r>
      <w:r w:rsidR="008E4C18" w:rsidRPr="00346D4A">
        <w:rPr>
          <w:rFonts w:cs="Melior"/>
          <w:b/>
          <w:sz w:val="21"/>
          <w:szCs w:val="21"/>
        </w:rPr>
        <w:t>;</w:t>
      </w:r>
    </w:p>
    <w:p w14:paraId="1FB023B5" w14:textId="3994C29E" w:rsidR="00756688" w:rsidRPr="00346D4A" w:rsidRDefault="00756688" w:rsidP="00D27BD7">
      <w:pPr>
        <w:pStyle w:val="ListParagraph"/>
        <w:numPr>
          <w:ilvl w:val="0"/>
          <w:numId w:val="14"/>
        </w:numPr>
        <w:autoSpaceDE w:val="0"/>
        <w:autoSpaceDN w:val="0"/>
        <w:adjustRightInd w:val="0"/>
        <w:spacing w:after="0" w:line="240" w:lineRule="auto"/>
        <w:rPr>
          <w:rFonts w:cs="Melior"/>
          <w:b/>
          <w:sz w:val="21"/>
          <w:szCs w:val="21"/>
        </w:rPr>
      </w:pPr>
      <w:r w:rsidRPr="00346D4A">
        <w:rPr>
          <w:rFonts w:cs="Melior"/>
          <w:b/>
          <w:sz w:val="21"/>
          <w:szCs w:val="21"/>
        </w:rPr>
        <w:t>HIV-associated organ failure</w:t>
      </w:r>
      <w:r w:rsidR="008E4C18" w:rsidRPr="00346D4A">
        <w:rPr>
          <w:rFonts w:cs="Melior"/>
          <w:b/>
          <w:sz w:val="21"/>
          <w:szCs w:val="21"/>
        </w:rPr>
        <w:t>;</w:t>
      </w:r>
    </w:p>
    <w:p w14:paraId="43568AFB" w14:textId="1AFAED16" w:rsidR="00756688" w:rsidRPr="00346D4A" w:rsidRDefault="00756688" w:rsidP="00D27BD7">
      <w:pPr>
        <w:pStyle w:val="ListParagraph"/>
        <w:numPr>
          <w:ilvl w:val="0"/>
          <w:numId w:val="14"/>
        </w:numPr>
        <w:autoSpaceDE w:val="0"/>
        <w:autoSpaceDN w:val="0"/>
        <w:adjustRightInd w:val="0"/>
        <w:spacing w:after="0" w:line="240" w:lineRule="auto"/>
        <w:rPr>
          <w:rFonts w:cs="Melior"/>
          <w:b/>
          <w:sz w:val="21"/>
          <w:szCs w:val="21"/>
        </w:rPr>
      </w:pPr>
      <w:r w:rsidRPr="00346D4A">
        <w:rPr>
          <w:rFonts w:cs="Melior"/>
          <w:b/>
          <w:sz w:val="21"/>
          <w:szCs w:val="21"/>
        </w:rPr>
        <w:t>Malignancy</w:t>
      </w:r>
      <w:r w:rsidR="008E4C18" w:rsidRPr="00346D4A">
        <w:rPr>
          <w:rFonts w:cs="Melior"/>
          <w:b/>
          <w:sz w:val="21"/>
          <w:szCs w:val="21"/>
        </w:rPr>
        <w:t>;</w:t>
      </w:r>
    </w:p>
    <w:p w14:paraId="6A1E89CF" w14:textId="2766159F" w:rsidR="00756688" w:rsidRPr="00346D4A" w:rsidRDefault="00756688" w:rsidP="00D27BD7">
      <w:pPr>
        <w:pStyle w:val="ListParagraph"/>
        <w:numPr>
          <w:ilvl w:val="0"/>
          <w:numId w:val="14"/>
        </w:numPr>
        <w:autoSpaceDE w:val="0"/>
        <w:autoSpaceDN w:val="0"/>
        <w:adjustRightInd w:val="0"/>
        <w:spacing w:after="0" w:line="240" w:lineRule="auto"/>
        <w:rPr>
          <w:rFonts w:cs="Melior"/>
          <w:b/>
          <w:sz w:val="21"/>
          <w:szCs w:val="21"/>
        </w:rPr>
      </w:pPr>
      <w:r w:rsidRPr="00346D4A">
        <w:rPr>
          <w:rFonts w:cs="Melior"/>
          <w:b/>
          <w:sz w:val="21"/>
          <w:szCs w:val="21"/>
        </w:rPr>
        <w:t>Graft failure</w:t>
      </w:r>
      <w:r w:rsidR="008E4C18" w:rsidRPr="00346D4A">
        <w:rPr>
          <w:rFonts w:cs="Melior"/>
          <w:b/>
          <w:sz w:val="21"/>
          <w:szCs w:val="21"/>
        </w:rPr>
        <w:t>;</w:t>
      </w:r>
    </w:p>
    <w:p w14:paraId="167828C8" w14:textId="6C5E05D2" w:rsidR="00756688" w:rsidRPr="00346D4A" w:rsidRDefault="00756688" w:rsidP="00DD6DA5">
      <w:pPr>
        <w:pStyle w:val="ListParagraph"/>
        <w:numPr>
          <w:ilvl w:val="0"/>
          <w:numId w:val="14"/>
        </w:numPr>
        <w:autoSpaceDE w:val="0"/>
        <w:autoSpaceDN w:val="0"/>
        <w:adjustRightInd w:val="0"/>
        <w:spacing w:after="0" w:line="240" w:lineRule="auto"/>
        <w:rPr>
          <w:rFonts w:cs="Melior"/>
          <w:b/>
          <w:sz w:val="21"/>
          <w:szCs w:val="21"/>
        </w:rPr>
      </w:pPr>
      <w:r w:rsidRPr="00346D4A">
        <w:rPr>
          <w:rFonts w:cs="Melior"/>
          <w:b/>
          <w:sz w:val="21"/>
          <w:szCs w:val="21"/>
        </w:rPr>
        <w:t>Mismatched ART resistance versus</w:t>
      </w:r>
      <w:r w:rsidR="008E4C18" w:rsidRPr="00346D4A">
        <w:rPr>
          <w:rFonts w:cs="Melior"/>
          <w:b/>
          <w:sz w:val="21"/>
          <w:szCs w:val="21"/>
        </w:rPr>
        <w:t xml:space="preserve"> </w:t>
      </w:r>
      <w:r w:rsidRPr="00346D4A">
        <w:rPr>
          <w:rFonts w:cs="Melior"/>
          <w:b/>
          <w:sz w:val="21"/>
          <w:szCs w:val="21"/>
        </w:rPr>
        <w:t>donor</w:t>
      </w:r>
      <w:r w:rsidR="008E4C18" w:rsidRPr="00346D4A">
        <w:rPr>
          <w:rFonts w:cs="Melior"/>
          <w:b/>
          <w:sz w:val="21"/>
          <w:szCs w:val="21"/>
        </w:rPr>
        <w:t>; and</w:t>
      </w:r>
    </w:p>
    <w:p w14:paraId="1AC14F8F" w14:textId="5373EADB" w:rsidR="00756688" w:rsidRPr="00346D4A" w:rsidRDefault="00756688" w:rsidP="00D27BD7">
      <w:pPr>
        <w:pStyle w:val="ListParagraph"/>
        <w:numPr>
          <w:ilvl w:val="0"/>
          <w:numId w:val="14"/>
        </w:numPr>
        <w:rPr>
          <w:b/>
          <w:sz w:val="21"/>
          <w:szCs w:val="21"/>
        </w:rPr>
      </w:pPr>
      <w:r w:rsidRPr="00346D4A">
        <w:rPr>
          <w:rFonts w:cs="Melior"/>
          <w:b/>
          <w:sz w:val="21"/>
          <w:szCs w:val="21"/>
        </w:rPr>
        <w:t>Death</w:t>
      </w:r>
      <w:r w:rsidR="00143EF3">
        <w:rPr>
          <w:rFonts w:cs="Melior"/>
          <w:b/>
          <w:sz w:val="21"/>
          <w:szCs w:val="21"/>
        </w:rPr>
        <w:t>.</w:t>
      </w:r>
    </w:p>
    <w:p w14:paraId="077FC1E6" w14:textId="77777777" w:rsidR="005D65B8" w:rsidRDefault="005D65B8" w:rsidP="00756688">
      <w:pPr>
        <w:rPr>
          <w:b/>
          <w:sz w:val="28"/>
          <w:szCs w:val="28"/>
        </w:rPr>
      </w:pPr>
    </w:p>
    <w:p w14:paraId="0515DEB2" w14:textId="77777777" w:rsidR="00756688" w:rsidRPr="00B24B84" w:rsidRDefault="00756688" w:rsidP="00756688">
      <w:r w:rsidRPr="00B24B84">
        <w:rPr>
          <w:b/>
          <w:sz w:val="28"/>
          <w:szCs w:val="28"/>
        </w:rPr>
        <w:t>(Source: Federal Register Vol. 80, No. 227, 11/25/2015)</w:t>
      </w:r>
    </w:p>
    <w:p w14:paraId="330CF98E" w14:textId="77777777" w:rsidR="00756688" w:rsidRPr="0035695B" w:rsidRDefault="00756688" w:rsidP="00756688">
      <w:pPr>
        <w:ind w:left="1080"/>
      </w:pPr>
    </w:p>
    <w:p w14:paraId="6F9CBAFE" w14:textId="77777777" w:rsidR="00F23D6B" w:rsidRPr="00F23D6B" w:rsidRDefault="00F23D6B" w:rsidP="00F23D6B">
      <w:pPr>
        <w:rPr>
          <w:b/>
        </w:rPr>
      </w:pPr>
    </w:p>
    <w:sectPr w:rsidR="00F23D6B" w:rsidRPr="00F23D6B" w:rsidSect="00DC125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1965C" w14:textId="77777777" w:rsidR="00436CD0" w:rsidRDefault="00436CD0" w:rsidP="00E256A8">
      <w:pPr>
        <w:spacing w:after="0" w:line="240" w:lineRule="auto"/>
      </w:pPr>
      <w:r>
        <w:separator/>
      </w:r>
    </w:p>
  </w:endnote>
  <w:endnote w:type="continuationSeparator" w:id="0">
    <w:p w14:paraId="18E57452" w14:textId="77777777" w:rsidR="00436CD0" w:rsidRDefault="00436CD0" w:rsidP="00E2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A503B" w14:textId="77777777" w:rsidR="00436CD0" w:rsidRDefault="00436CD0" w:rsidP="00E256A8">
      <w:pPr>
        <w:spacing w:after="0" w:line="240" w:lineRule="auto"/>
      </w:pPr>
      <w:r>
        <w:separator/>
      </w:r>
    </w:p>
  </w:footnote>
  <w:footnote w:type="continuationSeparator" w:id="0">
    <w:p w14:paraId="2C3A5220" w14:textId="77777777" w:rsidR="00436CD0" w:rsidRDefault="00436CD0" w:rsidP="00E25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80AAC" w14:textId="77777777" w:rsidR="00E256A8" w:rsidRPr="001D15E1" w:rsidRDefault="00E256A8" w:rsidP="00E256A8">
    <w:pPr>
      <w:tabs>
        <w:tab w:val="left" w:pos="2550"/>
      </w:tabs>
      <w:spacing w:after="0"/>
    </w:pPr>
    <w:r w:rsidRPr="001D15E1">
      <w:t xml:space="preserve">Date: </w:t>
    </w:r>
    <w:r w:rsidRPr="001D15E1">
      <w:tab/>
    </w:r>
  </w:p>
  <w:p w14:paraId="13DE6D4C" w14:textId="77777777" w:rsidR="00E256A8" w:rsidRPr="001D15E1" w:rsidRDefault="00E256A8" w:rsidP="00E256A8">
    <w:pPr>
      <w:spacing w:after="0"/>
    </w:pPr>
    <w:r w:rsidRPr="001D15E1">
      <w:t xml:space="preserve">PI Name: </w:t>
    </w:r>
  </w:p>
  <w:p w14:paraId="5713C1C4" w14:textId="38537CB6" w:rsidR="00E256A8" w:rsidRPr="001D15E1" w:rsidRDefault="000E4B61" w:rsidP="00E256A8">
    <w:pPr>
      <w:spacing w:after="0"/>
    </w:pPr>
    <w:proofErr w:type="spellStart"/>
    <w:proofErr w:type="gramStart"/>
    <w:r>
      <w:t>eIRB</w:t>
    </w:r>
    <w:proofErr w:type="spellEnd"/>
    <w:proofErr w:type="gramEnd"/>
    <w:r>
      <w:t xml:space="preserve"> Application</w:t>
    </w:r>
    <w:r w:rsidRPr="001D15E1">
      <w:t xml:space="preserve"> </w:t>
    </w:r>
    <w:r w:rsidR="00E256A8" w:rsidRPr="001D15E1">
      <w:t xml:space="preserve">Number: </w:t>
    </w:r>
  </w:p>
  <w:p w14:paraId="2BFD6F25" w14:textId="77777777" w:rsidR="00E256A8" w:rsidRDefault="00E256A8">
    <w:pPr>
      <w:pStyle w:val="Header"/>
    </w:pPr>
  </w:p>
  <w:p w14:paraId="349DAA58" w14:textId="77777777" w:rsidR="00E256A8" w:rsidRDefault="00E256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8D0"/>
    <w:multiLevelType w:val="hybridMultilevel"/>
    <w:tmpl w:val="AB7C5406"/>
    <w:lvl w:ilvl="0" w:tplc="71F89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C31E0"/>
    <w:multiLevelType w:val="hybridMultilevel"/>
    <w:tmpl w:val="31CE372E"/>
    <w:lvl w:ilvl="0" w:tplc="71F893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A926DD"/>
    <w:multiLevelType w:val="hybridMultilevel"/>
    <w:tmpl w:val="652E27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34675D"/>
    <w:multiLevelType w:val="hybridMultilevel"/>
    <w:tmpl w:val="456C8F92"/>
    <w:lvl w:ilvl="0" w:tplc="71F89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260A7"/>
    <w:multiLevelType w:val="hybridMultilevel"/>
    <w:tmpl w:val="3C20E828"/>
    <w:lvl w:ilvl="0" w:tplc="71F89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D0E1C"/>
    <w:multiLevelType w:val="hybridMultilevel"/>
    <w:tmpl w:val="DFC886D0"/>
    <w:lvl w:ilvl="0" w:tplc="71F89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1914E8"/>
    <w:multiLevelType w:val="hybridMultilevel"/>
    <w:tmpl w:val="75CA296C"/>
    <w:lvl w:ilvl="0" w:tplc="71F893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AD417A4"/>
    <w:multiLevelType w:val="hybridMultilevel"/>
    <w:tmpl w:val="3C20E828"/>
    <w:lvl w:ilvl="0" w:tplc="71F89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606958"/>
    <w:multiLevelType w:val="hybridMultilevel"/>
    <w:tmpl w:val="3B9A11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C305EA6"/>
    <w:multiLevelType w:val="hybridMultilevel"/>
    <w:tmpl w:val="B0E0FB78"/>
    <w:lvl w:ilvl="0" w:tplc="71F89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A7328A"/>
    <w:multiLevelType w:val="hybridMultilevel"/>
    <w:tmpl w:val="236A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0A0B90"/>
    <w:multiLevelType w:val="hybridMultilevel"/>
    <w:tmpl w:val="87126742"/>
    <w:lvl w:ilvl="0" w:tplc="71F89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DC0CA3"/>
    <w:multiLevelType w:val="hybridMultilevel"/>
    <w:tmpl w:val="E4E6E5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C2E32FD"/>
    <w:multiLevelType w:val="hybridMultilevel"/>
    <w:tmpl w:val="B42C738A"/>
    <w:lvl w:ilvl="0" w:tplc="71F8932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10"/>
  </w:num>
  <w:num w:numId="4">
    <w:abstractNumId w:val="0"/>
  </w:num>
  <w:num w:numId="5">
    <w:abstractNumId w:val="11"/>
  </w:num>
  <w:num w:numId="6">
    <w:abstractNumId w:val="9"/>
  </w:num>
  <w:num w:numId="7">
    <w:abstractNumId w:val="7"/>
  </w:num>
  <w:num w:numId="8">
    <w:abstractNumId w:val="4"/>
  </w:num>
  <w:num w:numId="9">
    <w:abstractNumId w:val="2"/>
  </w:num>
  <w:num w:numId="10">
    <w:abstractNumId w:val="8"/>
  </w:num>
  <w:num w:numId="11">
    <w:abstractNumId w:val="12"/>
  </w:num>
  <w:num w:numId="12">
    <w:abstractNumId w:val="6"/>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A8"/>
    <w:rsid w:val="000E4B61"/>
    <w:rsid w:val="0010560C"/>
    <w:rsid w:val="00143EF3"/>
    <w:rsid w:val="001669C0"/>
    <w:rsid w:val="00170CA8"/>
    <w:rsid w:val="0017640E"/>
    <w:rsid w:val="001C3EF2"/>
    <w:rsid w:val="00205147"/>
    <w:rsid w:val="002B3C17"/>
    <w:rsid w:val="00346D4A"/>
    <w:rsid w:val="00354BDF"/>
    <w:rsid w:val="0041539E"/>
    <w:rsid w:val="00436CD0"/>
    <w:rsid w:val="00487CD0"/>
    <w:rsid w:val="00495FAF"/>
    <w:rsid w:val="00570240"/>
    <w:rsid w:val="005B6C3E"/>
    <w:rsid w:val="005B78FF"/>
    <w:rsid w:val="005D65B8"/>
    <w:rsid w:val="00603C40"/>
    <w:rsid w:val="006622EE"/>
    <w:rsid w:val="006844F7"/>
    <w:rsid w:val="006F2EBF"/>
    <w:rsid w:val="006F4904"/>
    <w:rsid w:val="006F5F6A"/>
    <w:rsid w:val="00756688"/>
    <w:rsid w:val="00800E36"/>
    <w:rsid w:val="00881FB8"/>
    <w:rsid w:val="008A7639"/>
    <w:rsid w:val="008C07AC"/>
    <w:rsid w:val="008C7636"/>
    <w:rsid w:val="008E4C18"/>
    <w:rsid w:val="009A7351"/>
    <w:rsid w:val="009A7842"/>
    <w:rsid w:val="009A79E4"/>
    <w:rsid w:val="009F45A3"/>
    <w:rsid w:val="00A00194"/>
    <w:rsid w:val="00A23630"/>
    <w:rsid w:val="00A60893"/>
    <w:rsid w:val="00A743A7"/>
    <w:rsid w:val="00A96109"/>
    <w:rsid w:val="00AC2B8A"/>
    <w:rsid w:val="00AE6A4E"/>
    <w:rsid w:val="00AE76D6"/>
    <w:rsid w:val="00B0642D"/>
    <w:rsid w:val="00B17270"/>
    <w:rsid w:val="00B8136E"/>
    <w:rsid w:val="00BA23EC"/>
    <w:rsid w:val="00BC272E"/>
    <w:rsid w:val="00BF5B26"/>
    <w:rsid w:val="00C214D3"/>
    <w:rsid w:val="00C84AF7"/>
    <w:rsid w:val="00C90E4E"/>
    <w:rsid w:val="00CA1ACB"/>
    <w:rsid w:val="00D27BD7"/>
    <w:rsid w:val="00D452C9"/>
    <w:rsid w:val="00DC1257"/>
    <w:rsid w:val="00DF1AB4"/>
    <w:rsid w:val="00DF7283"/>
    <w:rsid w:val="00E256A8"/>
    <w:rsid w:val="00EE06C1"/>
    <w:rsid w:val="00F23D6B"/>
    <w:rsid w:val="00F5157C"/>
    <w:rsid w:val="00FD1826"/>
    <w:rsid w:val="00FF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F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56A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256A8"/>
    <w:rPr>
      <w:rFonts w:ascii="Calibri" w:hAnsi="Calibri"/>
      <w:szCs w:val="21"/>
    </w:rPr>
  </w:style>
  <w:style w:type="paragraph" w:styleId="Header">
    <w:name w:val="header"/>
    <w:basedOn w:val="Normal"/>
    <w:link w:val="HeaderChar"/>
    <w:uiPriority w:val="99"/>
    <w:unhideWhenUsed/>
    <w:rsid w:val="00E25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6A8"/>
  </w:style>
  <w:style w:type="paragraph" w:styleId="Footer">
    <w:name w:val="footer"/>
    <w:basedOn w:val="Normal"/>
    <w:link w:val="FooterChar"/>
    <w:uiPriority w:val="99"/>
    <w:unhideWhenUsed/>
    <w:rsid w:val="00E25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6A8"/>
  </w:style>
  <w:style w:type="table" w:styleId="TableGrid">
    <w:name w:val="Table Grid"/>
    <w:basedOn w:val="TableNormal"/>
    <w:uiPriority w:val="39"/>
    <w:rsid w:val="00E25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44F7"/>
    <w:rPr>
      <w:sz w:val="16"/>
      <w:szCs w:val="16"/>
    </w:rPr>
  </w:style>
  <w:style w:type="paragraph" w:styleId="CommentText">
    <w:name w:val="annotation text"/>
    <w:basedOn w:val="Normal"/>
    <w:link w:val="CommentTextChar"/>
    <w:uiPriority w:val="99"/>
    <w:semiHidden/>
    <w:unhideWhenUsed/>
    <w:rsid w:val="006844F7"/>
    <w:pPr>
      <w:spacing w:line="240" w:lineRule="auto"/>
    </w:pPr>
    <w:rPr>
      <w:sz w:val="20"/>
      <w:szCs w:val="20"/>
    </w:rPr>
  </w:style>
  <w:style w:type="character" w:customStyle="1" w:styleId="CommentTextChar">
    <w:name w:val="Comment Text Char"/>
    <w:basedOn w:val="DefaultParagraphFont"/>
    <w:link w:val="CommentText"/>
    <w:uiPriority w:val="99"/>
    <w:semiHidden/>
    <w:rsid w:val="006844F7"/>
    <w:rPr>
      <w:sz w:val="20"/>
      <w:szCs w:val="20"/>
    </w:rPr>
  </w:style>
  <w:style w:type="paragraph" w:styleId="CommentSubject">
    <w:name w:val="annotation subject"/>
    <w:basedOn w:val="CommentText"/>
    <w:next w:val="CommentText"/>
    <w:link w:val="CommentSubjectChar"/>
    <w:uiPriority w:val="99"/>
    <w:semiHidden/>
    <w:unhideWhenUsed/>
    <w:rsid w:val="006844F7"/>
    <w:rPr>
      <w:b/>
      <w:bCs/>
    </w:rPr>
  </w:style>
  <w:style w:type="character" w:customStyle="1" w:styleId="CommentSubjectChar">
    <w:name w:val="Comment Subject Char"/>
    <w:basedOn w:val="CommentTextChar"/>
    <w:link w:val="CommentSubject"/>
    <w:uiPriority w:val="99"/>
    <w:semiHidden/>
    <w:rsid w:val="006844F7"/>
    <w:rPr>
      <w:b/>
      <w:bCs/>
      <w:sz w:val="20"/>
      <w:szCs w:val="20"/>
    </w:rPr>
  </w:style>
  <w:style w:type="paragraph" w:styleId="BalloonText">
    <w:name w:val="Balloon Text"/>
    <w:basedOn w:val="Normal"/>
    <w:link w:val="BalloonTextChar"/>
    <w:uiPriority w:val="99"/>
    <w:semiHidden/>
    <w:unhideWhenUsed/>
    <w:rsid w:val="00684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4F7"/>
    <w:rPr>
      <w:rFonts w:ascii="Segoe UI" w:hAnsi="Segoe UI" w:cs="Segoe UI"/>
      <w:sz w:val="18"/>
      <w:szCs w:val="18"/>
    </w:rPr>
  </w:style>
  <w:style w:type="paragraph" w:styleId="ListParagraph">
    <w:name w:val="List Paragraph"/>
    <w:basedOn w:val="Normal"/>
    <w:uiPriority w:val="34"/>
    <w:qFormat/>
    <w:rsid w:val="006F5F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56A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256A8"/>
    <w:rPr>
      <w:rFonts w:ascii="Calibri" w:hAnsi="Calibri"/>
      <w:szCs w:val="21"/>
    </w:rPr>
  </w:style>
  <w:style w:type="paragraph" w:styleId="Header">
    <w:name w:val="header"/>
    <w:basedOn w:val="Normal"/>
    <w:link w:val="HeaderChar"/>
    <w:uiPriority w:val="99"/>
    <w:unhideWhenUsed/>
    <w:rsid w:val="00E25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6A8"/>
  </w:style>
  <w:style w:type="paragraph" w:styleId="Footer">
    <w:name w:val="footer"/>
    <w:basedOn w:val="Normal"/>
    <w:link w:val="FooterChar"/>
    <w:uiPriority w:val="99"/>
    <w:unhideWhenUsed/>
    <w:rsid w:val="00E25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6A8"/>
  </w:style>
  <w:style w:type="table" w:styleId="TableGrid">
    <w:name w:val="Table Grid"/>
    <w:basedOn w:val="TableNormal"/>
    <w:uiPriority w:val="39"/>
    <w:rsid w:val="00E25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44F7"/>
    <w:rPr>
      <w:sz w:val="16"/>
      <w:szCs w:val="16"/>
    </w:rPr>
  </w:style>
  <w:style w:type="paragraph" w:styleId="CommentText">
    <w:name w:val="annotation text"/>
    <w:basedOn w:val="Normal"/>
    <w:link w:val="CommentTextChar"/>
    <w:uiPriority w:val="99"/>
    <w:semiHidden/>
    <w:unhideWhenUsed/>
    <w:rsid w:val="006844F7"/>
    <w:pPr>
      <w:spacing w:line="240" w:lineRule="auto"/>
    </w:pPr>
    <w:rPr>
      <w:sz w:val="20"/>
      <w:szCs w:val="20"/>
    </w:rPr>
  </w:style>
  <w:style w:type="character" w:customStyle="1" w:styleId="CommentTextChar">
    <w:name w:val="Comment Text Char"/>
    <w:basedOn w:val="DefaultParagraphFont"/>
    <w:link w:val="CommentText"/>
    <w:uiPriority w:val="99"/>
    <w:semiHidden/>
    <w:rsid w:val="006844F7"/>
    <w:rPr>
      <w:sz w:val="20"/>
      <w:szCs w:val="20"/>
    </w:rPr>
  </w:style>
  <w:style w:type="paragraph" w:styleId="CommentSubject">
    <w:name w:val="annotation subject"/>
    <w:basedOn w:val="CommentText"/>
    <w:next w:val="CommentText"/>
    <w:link w:val="CommentSubjectChar"/>
    <w:uiPriority w:val="99"/>
    <w:semiHidden/>
    <w:unhideWhenUsed/>
    <w:rsid w:val="006844F7"/>
    <w:rPr>
      <w:b/>
      <w:bCs/>
    </w:rPr>
  </w:style>
  <w:style w:type="character" w:customStyle="1" w:styleId="CommentSubjectChar">
    <w:name w:val="Comment Subject Char"/>
    <w:basedOn w:val="CommentTextChar"/>
    <w:link w:val="CommentSubject"/>
    <w:uiPriority w:val="99"/>
    <w:semiHidden/>
    <w:rsid w:val="006844F7"/>
    <w:rPr>
      <w:b/>
      <w:bCs/>
      <w:sz w:val="20"/>
      <w:szCs w:val="20"/>
    </w:rPr>
  </w:style>
  <w:style w:type="paragraph" w:styleId="BalloonText">
    <w:name w:val="Balloon Text"/>
    <w:basedOn w:val="Normal"/>
    <w:link w:val="BalloonTextChar"/>
    <w:uiPriority w:val="99"/>
    <w:semiHidden/>
    <w:unhideWhenUsed/>
    <w:rsid w:val="00684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4F7"/>
    <w:rPr>
      <w:rFonts w:ascii="Segoe UI" w:hAnsi="Segoe UI" w:cs="Segoe UI"/>
      <w:sz w:val="18"/>
      <w:szCs w:val="18"/>
    </w:rPr>
  </w:style>
  <w:style w:type="paragraph" w:styleId="ListParagraph">
    <w:name w:val="List Paragraph"/>
    <w:basedOn w:val="Normal"/>
    <w:uiPriority w:val="34"/>
    <w:qFormat/>
    <w:rsid w:val="006F5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1916">
      <w:bodyDiv w:val="1"/>
      <w:marLeft w:val="0"/>
      <w:marRight w:val="0"/>
      <w:marTop w:val="0"/>
      <w:marBottom w:val="0"/>
      <w:divBdr>
        <w:top w:val="none" w:sz="0" w:space="0" w:color="auto"/>
        <w:left w:val="none" w:sz="0" w:space="0" w:color="auto"/>
        <w:bottom w:val="none" w:sz="0" w:space="0" w:color="auto"/>
        <w:right w:val="none" w:sz="0" w:space="0" w:color="auto"/>
      </w:divBdr>
    </w:div>
    <w:div w:id="101522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Jeter</dc:creator>
  <cp:keywords/>
  <dc:description/>
  <cp:lastModifiedBy>Philip Rocca</cp:lastModifiedBy>
  <cp:revision>30</cp:revision>
  <dcterms:created xsi:type="dcterms:W3CDTF">2016-07-28T14:42:00Z</dcterms:created>
  <dcterms:modified xsi:type="dcterms:W3CDTF">2016-08-02T15:26:00Z</dcterms:modified>
</cp:coreProperties>
</file>