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90" w:rsidRPr="000D1B6B" w:rsidRDefault="00332790" w:rsidP="000D1B6B">
      <w:pPr>
        <w:pStyle w:val="Heading2"/>
        <w:jc w:val="center"/>
        <w:rPr>
          <w:b/>
        </w:rPr>
      </w:pPr>
      <w:r w:rsidRPr="000D1B6B">
        <w:rPr>
          <w:b/>
        </w:rPr>
        <w:t>Acronyms and Abbreviations</w:t>
      </w:r>
    </w:p>
    <w:p w:rsidR="00332790" w:rsidRPr="000D1B6B" w:rsidRDefault="00332790" w:rsidP="000D1B6B">
      <w:pPr>
        <w:pStyle w:val="Heading2"/>
        <w:jc w:val="center"/>
        <w:rPr>
          <w:b/>
        </w:rPr>
      </w:pPr>
      <w:r w:rsidRPr="000D1B6B">
        <w:rPr>
          <w:b/>
        </w:rPr>
        <w:t>Johns Hopkins Medicine</w:t>
      </w:r>
    </w:p>
    <w:p w:rsidR="002B6F42" w:rsidRPr="000D1B6B" w:rsidRDefault="00332790" w:rsidP="000D1B6B">
      <w:pPr>
        <w:pStyle w:val="Heading2"/>
        <w:jc w:val="center"/>
        <w:rPr>
          <w:b/>
        </w:rPr>
      </w:pPr>
      <w:r w:rsidRPr="000D1B6B">
        <w:rPr>
          <w:b/>
        </w:rPr>
        <w:t>Clinical Research Revenue Cycle &amp; Compliance</w:t>
      </w:r>
    </w:p>
    <w:p w:rsidR="00332790" w:rsidRDefault="00332790" w:rsidP="00332790"/>
    <w:tbl>
      <w:tblPr>
        <w:tblStyle w:val="GridTable4-Accent1"/>
        <w:tblW w:w="10075" w:type="dxa"/>
        <w:tblLook w:val="04A0" w:firstRow="1" w:lastRow="0" w:firstColumn="1" w:lastColumn="0" w:noHBand="0" w:noVBand="1"/>
      </w:tblPr>
      <w:tblGrid>
        <w:gridCol w:w="1885"/>
        <w:gridCol w:w="4196"/>
        <w:gridCol w:w="3994"/>
      </w:tblGrid>
      <w:tr w:rsidR="00F95C4F" w:rsidTr="00F95C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pPr>
              <w:jc w:val="center"/>
            </w:pPr>
            <w:r>
              <w:t>Acronym or Abbreviation</w:t>
            </w:r>
          </w:p>
        </w:tc>
        <w:tc>
          <w:tcPr>
            <w:tcW w:w="4196" w:type="dxa"/>
          </w:tcPr>
          <w:p w:rsidR="00F95C4F" w:rsidRDefault="00F95C4F" w:rsidP="00332790">
            <w:pPr>
              <w:jc w:val="center"/>
              <w:cnfStyle w:val="100000000000" w:firstRow="1" w:lastRow="0" w:firstColumn="0" w:lastColumn="0" w:oddVBand="0" w:evenVBand="0" w:oddHBand="0" w:evenHBand="0" w:firstRowFirstColumn="0" w:firstRowLastColumn="0" w:lastRowFirstColumn="0" w:lastRowLastColumn="0"/>
            </w:pPr>
            <w:r>
              <w:t>Word/Phrase</w:t>
            </w:r>
          </w:p>
        </w:tc>
        <w:tc>
          <w:tcPr>
            <w:tcW w:w="3994" w:type="dxa"/>
          </w:tcPr>
          <w:p w:rsidR="00F95C4F" w:rsidRDefault="00F95C4F" w:rsidP="00332790">
            <w:pPr>
              <w:jc w:val="center"/>
              <w:cnfStyle w:val="100000000000" w:firstRow="1" w:lastRow="0" w:firstColumn="0" w:lastColumn="0" w:oddVBand="0" w:evenVBand="0" w:oddHBand="0" w:evenHBand="0" w:firstRowFirstColumn="0" w:firstRowLastColumn="0" w:lastRowFirstColumn="0" w:lastRowLastColumn="0"/>
            </w:pPr>
            <w:r>
              <w:t>Definition</w:t>
            </w:r>
          </w:p>
          <w:p w:rsidR="00F95C4F" w:rsidRDefault="00F95C4F" w:rsidP="00332790">
            <w:pPr>
              <w:jc w:val="center"/>
              <w:cnfStyle w:val="100000000000" w:firstRow="1" w:lastRow="0" w:firstColumn="0" w:lastColumn="0" w:oddVBand="0" w:evenVBand="0" w:oddHBand="0" w:evenHBand="0" w:firstRowFirstColumn="0" w:firstRowLastColumn="0" w:lastRowFirstColumn="0" w:lastRowLastColumn="0"/>
            </w:pPr>
            <w:r>
              <w:t>(as applicable)</w:t>
            </w:r>
          </w:p>
        </w:tc>
      </w:tr>
      <w:tr w:rsidR="00CF506E"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F506E" w:rsidRDefault="00CF506E" w:rsidP="008F6C01">
            <w:r>
              <w:t>510(K)</w:t>
            </w:r>
          </w:p>
        </w:tc>
        <w:tc>
          <w:tcPr>
            <w:tcW w:w="4196" w:type="dxa"/>
          </w:tcPr>
          <w:p w:rsidR="00CF506E" w:rsidRDefault="00CF506E" w:rsidP="008F6C01">
            <w:pPr>
              <w:cnfStyle w:val="000000100000" w:firstRow="0" w:lastRow="0" w:firstColumn="0" w:lastColumn="0" w:oddVBand="0" w:evenVBand="0" w:oddHBand="1" w:evenHBand="0" w:firstRowFirstColumn="0" w:firstRowLastColumn="0" w:lastRowFirstColumn="0" w:lastRowLastColumn="0"/>
            </w:pPr>
            <w:r>
              <w:t>Pre-Market Notification (Device)</w:t>
            </w:r>
          </w:p>
        </w:tc>
        <w:tc>
          <w:tcPr>
            <w:tcW w:w="3994" w:type="dxa"/>
          </w:tcPr>
          <w:p w:rsidR="00CF506E" w:rsidRDefault="00CF506E" w:rsidP="008F6C01">
            <w:pPr>
              <w:cnfStyle w:val="000000100000" w:firstRow="0" w:lastRow="0" w:firstColumn="0" w:lastColumn="0" w:oddVBand="0" w:evenVBand="0" w:oddHBand="1" w:evenHBand="0" w:firstRowFirstColumn="0" w:firstRowLastColumn="0" w:lastRowFirstColumn="0" w:lastRowLastColumn="0"/>
            </w:pPr>
            <w:r>
              <w:t xml:space="preserve">FDA designation. </w:t>
            </w:r>
            <w:r w:rsidRPr="00CF506E">
              <w:t>Parties who must submit their device should notify FDA of their intent to market a medical device at least 90 days in advance.</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8F6C01">
            <w:r>
              <w:t>ACH</w:t>
            </w:r>
          </w:p>
        </w:tc>
        <w:tc>
          <w:tcPr>
            <w:tcW w:w="4196" w:type="dxa"/>
          </w:tcPr>
          <w:p w:rsidR="00F95C4F" w:rsidRDefault="00F95C4F" w:rsidP="008F6C01">
            <w:pPr>
              <w:cnfStyle w:val="000000000000" w:firstRow="0" w:lastRow="0" w:firstColumn="0" w:lastColumn="0" w:oddVBand="0" w:evenVBand="0" w:oddHBand="0" w:evenHBand="0" w:firstRowFirstColumn="0" w:firstRowLastColumn="0" w:lastRowFirstColumn="0" w:lastRowLastColumn="0"/>
            </w:pPr>
            <w:r>
              <w:t xml:space="preserve">All Children’s Hospital </w:t>
            </w:r>
          </w:p>
        </w:tc>
        <w:tc>
          <w:tcPr>
            <w:tcW w:w="3994" w:type="dxa"/>
          </w:tcPr>
          <w:p w:rsidR="00F95C4F" w:rsidRDefault="00F95C4F" w:rsidP="008F6C01">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BMC</w:t>
            </w:r>
          </w:p>
        </w:tc>
        <w:tc>
          <w:tcPr>
            <w:tcW w:w="4196"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t xml:space="preserve">Bayview Medical Center </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rPr>
          <w:trHeight w:val="35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CMS</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rsidRPr="00332790">
              <w:t>Center for Medicare and Medicaid Services</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CPA</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Clinical Practice Association</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rPr>
          <w:trHeight w:val="35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CPT</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t>Clinical Procedure Terminology Codes (outpatient coding)</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t>M</w:t>
            </w:r>
            <w:r w:rsidRPr="00F95C4F">
              <w:t>edical code set that is used to report medical, surgical, and diagnostic procedures and services to entities such as physicians, health insurance companies and accreditation organizations</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CRBC</w:t>
            </w:r>
          </w:p>
        </w:tc>
        <w:tc>
          <w:tcPr>
            <w:tcW w:w="4196"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t xml:space="preserve">Office of Clinical Research Billing Compliance </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CRBO</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rsidRPr="00332790">
              <w:t>Clinical Research Billing Orientation</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Research compliance and IRB mandatory training for all research staff that outlines the research revenue cycle process for Johns Hopkins Medicine</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CRC</w:t>
            </w:r>
          </w:p>
        </w:tc>
        <w:tc>
          <w:tcPr>
            <w:tcW w:w="4196"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rsidRPr="00332790">
              <w:t>Clinical Research Contracting</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CRFC</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rsidRPr="00332790">
              <w:t>Clinical Research Financial Clearance</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CRMS</w:t>
            </w:r>
          </w:p>
        </w:tc>
        <w:tc>
          <w:tcPr>
            <w:tcW w:w="4196"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rsidRPr="00332790">
              <w:t>Clinical Research Management System</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 xml:space="preserve">Johns Hopkins clinical trial management system; official record of participant enrollment </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CRRCC</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Clinical Research Revenue Cycle &amp; Compliance</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CRSS</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Clinical Research Support Services</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rsidRPr="00F95C4F">
              <w:t>The support services group provides expertise in clinical research patient care coverage analysis, comprehensive budget development and budget negotiations with corporate sponsors</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CRU</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Clinical Research Unit</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DOS</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Date of Service</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GSS</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roofErr w:type="spellStart"/>
            <w:r w:rsidRPr="00332790">
              <w:t>Greenspring</w:t>
            </w:r>
            <w:proofErr w:type="spellEnd"/>
            <w:r w:rsidRPr="00332790">
              <w:t xml:space="preserve"> Station</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HCGH</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rsidRPr="00332790">
              <w:t>Howard County General Hospital</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HCPCS</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Health Common Procedure Coding System</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rsidRPr="00F95C4F">
              <w:t xml:space="preserve">Standardized code sets are necessary for Medicare and other health insurance providers to provide healthcare claims </w:t>
            </w:r>
            <w:r w:rsidRPr="00F95C4F">
              <w:lastRenderedPageBreak/>
              <w:t>that are managed consis</w:t>
            </w:r>
            <w:r>
              <w:t>tently and in an orderly manner</w:t>
            </w:r>
          </w:p>
        </w:tc>
      </w:tr>
      <w:tr w:rsidR="00CF506E"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F506E" w:rsidRDefault="00CF506E" w:rsidP="00332790">
            <w:r>
              <w:lastRenderedPageBreak/>
              <w:t>HDE</w:t>
            </w:r>
          </w:p>
        </w:tc>
        <w:tc>
          <w:tcPr>
            <w:tcW w:w="4196" w:type="dxa"/>
          </w:tcPr>
          <w:p w:rsidR="00CF506E" w:rsidRDefault="00CF506E" w:rsidP="00CF506E">
            <w:pPr>
              <w:cnfStyle w:val="000000100000" w:firstRow="0" w:lastRow="0" w:firstColumn="0" w:lastColumn="0" w:oddVBand="0" w:evenVBand="0" w:oddHBand="1" w:evenHBand="0" w:firstRowFirstColumn="0" w:firstRowLastColumn="0" w:lastRowFirstColumn="0" w:lastRowLastColumn="0"/>
            </w:pPr>
            <w:r>
              <w:t>Humanitarian Device Exception</w:t>
            </w:r>
          </w:p>
        </w:tc>
        <w:tc>
          <w:tcPr>
            <w:tcW w:w="3994" w:type="dxa"/>
          </w:tcPr>
          <w:p w:rsidR="00CF506E" w:rsidRPr="00F95C4F" w:rsidRDefault="00CF506E" w:rsidP="00332790">
            <w:pPr>
              <w:cnfStyle w:val="000000100000" w:firstRow="0" w:lastRow="0" w:firstColumn="0" w:lastColumn="0" w:oddVBand="0" w:evenVBand="0" w:oddHBand="1" w:evenHBand="0" w:firstRowFirstColumn="0" w:firstRowLastColumn="0" w:lastRowFirstColumn="0" w:lastRowLastColumn="0"/>
            </w:pPr>
            <w:r>
              <w:t>FDA designation. A</w:t>
            </w:r>
            <w:r w:rsidRPr="00CF506E">
              <w:t xml:space="preserve"> marketing application for an HUD. An HDE is exempt from the </w:t>
            </w:r>
            <w:r w:rsidRPr="00CF506E">
              <w:rPr>
                <w:b/>
                <w:bCs/>
              </w:rPr>
              <w:t>effectiveness</w:t>
            </w:r>
            <w:r w:rsidRPr="00CF506E">
              <w:t> requirements and is subject to certain profit and use restrictions</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HSCRC</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t>Health Service Cost Review Commision</w:t>
            </w:r>
          </w:p>
        </w:tc>
        <w:tc>
          <w:tcPr>
            <w:tcW w:w="3994" w:type="dxa"/>
          </w:tcPr>
          <w:p w:rsidR="00F95C4F" w:rsidRDefault="00F95C4F" w:rsidP="00F95C4F">
            <w:pPr>
              <w:cnfStyle w:val="000000000000" w:firstRow="0" w:lastRow="0" w:firstColumn="0" w:lastColumn="0" w:oddVBand="0" w:evenVBand="0" w:oddHBand="0" w:evenHBand="0" w:firstRowFirstColumn="0" w:firstRowLastColumn="0" w:lastRowFirstColumn="0" w:lastRowLastColumn="0"/>
            </w:pPr>
            <w:r>
              <w:t>The HSCRC has</w:t>
            </w:r>
            <w:r w:rsidRPr="00F95C4F">
              <w:t xml:space="preserve"> broad responsibility regarding the public disclosure of hospital data and operating performance and was authorized to establish hospital rates to promote cost containment, access to care, equity, financial stability and hospital accountability</w:t>
            </w:r>
          </w:p>
        </w:tc>
      </w:tr>
      <w:tr w:rsidR="00CF506E"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F506E" w:rsidRDefault="00CF506E" w:rsidP="00332790">
            <w:r>
              <w:t>HUD</w:t>
            </w:r>
          </w:p>
        </w:tc>
        <w:tc>
          <w:tcPr>
            <w:tcW w:w="4196" w:type="dxa"/>
          </w:tcPr>
          <w:p w:rsidR="00CF506E" w:rsidRDefault="00CF506E" w:rsidP="00332790">
            <w:pPr>
              <w:cnfStyle w:val="000000100000" w:firstRow="0" w:lastRow="0" w:firstColumn="0" w:lastColumn="0" w:oddVBand="0" w:evenVBand="0" w:oddHBand="1" w:evenHBand="0" w:firstRowFirstColumn="0" w:firstRowLastColumn="0" w:lastRowFirstColumn="0" w:lastRowLastColumn="0"/>
            </w:pPr>
            <w:r>
              <w:t>Humanitarian Use Device</w:t>
            </w:r>
          </w:p>
        </w:tc>
        <w:tc>
          <w:tcPr>
            <w:tcW w:w="3994" w:type="dxa"/>
          </w:tcPr>
          <w:p w:rsidR="00CF506E" w:rsidRDefault="00CF506E" w:rsidP="00F95C4F">
            <w:pPr>
              <w:cnfStyle w:val="000000100000" w:firstRow="0" w:lastRow="0" w:firstColumn="0" w:lastColumn="0" w:oddVBand="0" w:evenVBand="0" w:oddHBand="1" w:evenHBand="0" w:firstRowFirstColumn="0" w:firstRowLastColumn="0" w:lastRowFirstColumn="0" w:lastRowLastColumn="0"/>
            </w:pPr>
            <w:r>
              <w:t>FDA designation. A</w:t>
            </w:r>
            <w:r w:rsidRPr="00CF506E">
              <w:t xml:space="preserve"> medical device intended to benefit patients in the treatment or diagnosis of a disease or condition that affects or is manifested in not more than 8,000 individuals in the United States per year </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ICD-10-CM</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International Classification of Diseases, 10</w:t>
            </w:r>
            <w:r w:rsidRPr="002D601F">
              <w:rPr>
                <w:vertAlign w:val="superscript"/>
              </w:rPr>
              <w:t>th</w:t>
            </w:r>
            <w:r>
              <w:t xml:space="preserve"> Edition, Clinical Modification (diagnosis coding)</w:t>
            </w:r>
          </w:p>
        </w:tc>
        <w:tc>
          <w:tcPr>
            <w:tcW w:w="3994" w:type="dxa"/>
          </w:tcPr>
          <w:p w:rsidR="00F95C4F" w:rsidRDefault="004C6CD1" w:rsidP="00332790">
            <w:pPr>
              <w:cnfStyle w:val="000000000000" w:firstRow="0" w:lastRow="0" w:firstColumn="0" w:lastColumn="0" w:oddVBand="0" w:evenVBand="0" w:oddHBand="0" w:evenHBand="0" w:firstRowFirstColumn="0" w:firstRowLastColumn="0" w:lastRowFirstColumn="0" w:lastRowLastColumn="0"/>
            </w:pPr>
            <w:r>
              <w:t>S</w:t>
            </w:r>
            <w:r w:rsidRPr="004C6CD1">
              <w:t xml:space="preserve">ystem used by physicians and other healthcare providers to </w:t>
            </w:r>
            <w:r>
              <w:t xml:space="preserve">classify and code all diagnoses and symptoms </w:t>
            </w:r>
            <w:r w:rsidRPr="004C6CD1">
              <w:t>recorded in conjunction with hos</w:t>
            </w:r>
            <w:r>
              <w:t>pital care in the United States</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ICD-10-PCS</w:t>
            </w:r>
          </w:p>
        </w:tc>
        <w:tc>
          <w:tcPr>
            <w:tcW w:w="4196"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r w:rsidRPr="002D601F">
              <w:t>International Classification of Diseases, 10th Edition</w:t>
            </w:r>
            <w:r>
              <w:t>, Procedure Coding System</w:t>
            </w:r>
          </w:p>
        </w:tc>
        <w:tc>
          <w:tcPr>
            <w:tcW w:w="3994" w:type="dxa"/>
          </w:tcPr>
          <w:p w:rsidR="00F95C4F" w:rsidRPr="002D601F" w:rsidRDefault="004C6CD1" w:rsidP="00332790">
            <w:pPr>
              <w:cnfStyle w:val="000000100000" w:firstRow="0" w:lastRow="0" w:firstColumn="0" w:lastColumn="0" w:oddVBand="0" w:evenVBand="0" w:oddHBand="1" w:evenHBand="0" w:firstRowFirstColumn="0" w:firstRowLastColumn="0" w:lastRowFirstColumn="0" w:lastRowLastColumn="0"/>
            </w:pPr>
            <w:r>
              <w:t>A</w:t>
            </w:r>
            <w:r w:rsidRPr="004C6CD1">
              <w:t xml:space="preserve"> procedure classification published by the United States for classifying procedures performed in hospital i</w:t>
            </w:r>
            <w:r>
              <w:t>npatient health care settings</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ICTR</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Institute for Clinical and Translational Research</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CF506E"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F506E" w:rsidRDefault="00CF506E" w:rsidP="00332790">
            <w:r>
              <w:t>IDE</w:t>
            </w:r>
          </w:p>
        </w:tc>
        <w:tc>
          <w:tcPr>
            <w:tcW w:w="4196" w:type="dxa"/>
          </w:tcPr>
          <w:p w:rsidR="00CF506E" w:rsidRPr="00332790" w:rsidRDefault="00CF506E" w:rsidP="00332790">
            <w:pPr>
              <w:cnfStyle w:val="000000100000" w:firstRow="0" w:lastRow="0" w:firstColumn="0" w:lastColumn="0" w:oddVBand="0" w:evenVBand="0" w:oddHBand="1" w:evenHBand="0" w:firstRowFirstColumn="0" w:firstRowLastColumn="0" w:lastRowFirstColumn="0" w:lastRowLastColumn="0"/>
            </w:pPr>
            <w:r>
              <w:t>Investigational Device Exception</w:t>
            </w:r>
          </w:p>
        </w:tc>
        <w:tc>
          <w:tcPr>
            <w:tcW w:w="3994" w:type="dxa"/>
          </w:tcPr>
          <w:p w:rsidR="00CF506E" w:rsidRPr="00332790" w:rsidRDefault="00CF506E" w:rsidP="00332790">
            <w:pPr>
              <w:cnfStyle w:val="000000100000" w:firstRow="0" w:lastRow="0" w:firstColumn="0" w:lastColumn="0" w:oddVBand="0" w:evenVBand="0" w:oddHBand="1" w:evenHBand="0" w:firstRowFirstColumn="0" w:firstRowLastColumn="0" w:lastRowFirstColumn="0" w:lastRowLastColumn="0"/>
            </w:pPr>
            <w:r>
              <w:t>FDA designation</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rsidRPr="002D601F">
              <w:t>IRB</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2D601F">
              <w:t>Institutional Review Board</w:t>
            </w:r>
          </w:p>
        </w:tc>
        <w:tc>
          <w:tcPr>
            <w:tcW w:w="3994" w:type="dxa"/>
          </w:tcPr>
          <w:p w:rsidR="00F95C4F" w:rsidRPr="002D601F"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JHCP</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rsidRPr="00332790">
              <w:t>Johns Hopkins Community Physicians</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JHH</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Johns Hopkins Hospital</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JHM</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Johns Hopkins Medicine</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JHU</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Johns Hopkins University</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JHOC</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rsidRPr="00332790">
              <w:t>Johns Hopkins Outpatient Center</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LCD</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Local Coverage Decision (from Medicare Contractor)</w:t>
            </w:r>
          </w:p>
        </w:tc>
        <w:tc>
          <w:tcPr>
            <w:tcW w:w="3994" w:type="dxa"/>
          </w:tcPr>
          <w:p w:rsidR="00F95C4F" w:rsidRDefault="004C6CD1" w:rsidP="004C6CD1">
            <w:pPr>
              <w:cnfStyle w:val="000000000000" w:firstRow="0" w:lastRow="0" w:firstColumn="0" w:lastColumn="0" w:oddVBand="0" w:evenVBand="0" w:oddHBand="0" w:evenHBand="0" w:firstRowFirstColumn="0" w:firstRowLastColumn="0" w:lastRowFirstColumn="0" w:lastRowLastColumn="0"/>
            </w:pPr>
            <w:r>
              <w:t xml:space="preserve">A </w:t>
            </w:r>
            <w:r w:rsidRPr="004C6CD1">
              <w:t>determination by a</w:t>
            </w:r>
            <w:r>
              <w:t xml:space="preserve"> CMS</w:t>
            </w:r>
            <w:r w:rsidRPr="004C6CD1">
              <w:t xml:space="preserve"> fiscal intermediary or a carrier under part A or part B, as applicable, respecting whether or not a particular item or service is covered on an intermediary or carrier-wide basis</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MRN</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rsidRPr="00332790">
              <w:t>Medical Record Number</w:t>
            </w:r>
          </w:p>
        </w:tc>
        <w:tc>
          <w:tcPr>
            <w:tcW w:w="3994"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lastRenderedPageBreak/>
              <w:t>NCD</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332790">
              <w:t>National Coverage Decision</w:t>
            </w: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F95C4F">
              <w:t>United States nationwide determination of whether Medicare will pay for an item or service</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NCT</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 xml:space="preserve">National Clinical Trial Number </w:t>
            </w:r>
          </w:p>
        </w:tc>
        <w:tc>
          <w:tcPr>
            <w:tcW w:w="3994" w:type="dxa"/>
          </w:tcPr>
          <w:p w:rsidR="00F95C4F" w:rsidRDefault="004C6CD1" w:rsidP="00332790">
            <w:pPr>
              <w:cnfStyle w:val="000000100000" w:firstRow="0" w:lastRow="0" w:firstColumn="0" w:lastColumn="0" w:oddVBand="0" w:evenVBand="0" w:oddHBand="1" w:evenHBand="0" w:firstRowFirstColumn="0" w:firstRowLastColumn="0" w:lastRowFirstColumn="0" w:lastRowLastColumn="0"/>
            </w:pPr>
            <w:r w:rsidRPr="004C6CD1">
              <w:t>The NCT Number, also called the ClinicalTrials.gov Identifier, is assigned after the protocol information has been Released (submitted) by the Responsible Party and passed rev</w:t>
            </w:r>
            <w:r>
              <w:t>iew by ClinicalTrials.gov staff</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ORA</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Office of Research Administration</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OIG</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rsidRPr="008F6C01">
              <w:t>Office of Inspector General</w:t>
            </w:r>
          </w:p>
        </w:tc>
        <w:tc>
          <w:tcPr>
            <w:tcW w:w="3994" w:type="dxa"/>
          </w:tcPr>
          <w:p w:rsidR="00F95C4F" w:rsidRPr="008F6C01"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PBS</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8F6C01">
              <w:t>Physician Billing Services (Billing office for professional fee billing)</w:t>
            </w:r>
          </w:p>
        </w:tc>
        <w:tc>
          <w:tcPr>
            <w:tcW w:w="3994" w:type="dxa"/>
          </w:tcPr>
          <w:p w:rsidR="00F95C4F" w:rsidRPr="008F6C01" w:rsidRDefault="00F95C4F" w:rsidP="00332790">
            <w:pPr>
              <w:cnfStyle w:val="000000000000" w:firstRow="0" w:lastRow="0" w:firstColumn="0" w:lastColumn="0" w:oddVBand="0" w:evenVBand="0" w:oddHBand="0" w:evenHBand="0" w:firstRowFirstColumn="0" w:firstRowLastColumn="0" w:lastRowFirstColumn="0" w:lastRowLastColumn="0"/>
            </w:pPr>
          </w:p>
        </w:tc>
      </w:tr>
      <w:tr w:rsidR="00CF506E"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F506E" w:rsidRDefault="00CF506E" w:rsidP="00332790">
            <w:r>
              <w:t>PMA</w:t>
            </w:r>
          </w:p>
        </w:tc>
        <w:tc>
          <w:tcPr>
            <w:tcW w:w="4196" w:type="dxa"/>
          </w:tcPr>
          <w:p w:rsidR="00CF506E" w:rsidRPr="008F6C01" w:rsidRDefault="00CF506E" w:rsidP="00332790">
            <w:pPr>
              <w:cnfStyle w:val="000000100000" w:firstRow="0" w:lastRow="0" w:firstColumn="0" w:lastColumn="0" w:oddVBand="0" w:evenVBand="0" w:oddHBand="1" w:evenHBand="0" w:firstRowFirstColumn="0" w:firstRowLastColumn="0" w:lastRowFirstColumn="0" w:lastRowLastColumn="0"/>
            </w:pPr>
            <w:r>
              <w:t>Post Market Approval</w:t>
            </w:r>
          </w:p>
        </w:tc>
        <w:tc>
          <w:tcPr>
            <w:tcW w:w="3994" w:type="dxa"/>
          </w:tcPr>
          <w:p w:rsidR="00CF506E" w:rsidRPr="008F6C01" w:rsidRDefault="00CF506E" w:rsidP="00332790">
            <w:pPr>
              <w:cnfStyle w:val="000000100000" w:firstRow="0" w:lastRow="0" w:firstColumn="0" w:lastColumn="0" w:oddVBand="0" w:evenVBand="0" w:oddHBand="1" w:evenHBand="0" w:firstRowFirstColumn="0" w:firstRowLastColumn="0" w:lastRowFirstColumn="0" w:lastRowLastColumn="0"/>
            </w:pPr>
            <w:r>
              <w:t>FDA designation. I</w:t>
            </w:r>
            <w:r w:rsidRPr="00CF506E">
              <w:t>s the FDA process of scientific and regulatory review to evaluate the safety and effectiveness of Class III medical devices</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PRA</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rsidRPr="008F6C01">
              <w:t>Prospective Reimbursement Analysis</w:t>
            </w:r>
          </w:p>
        </w:tc>
        <w:tc>
          <w:tcPr>
            <w:tcW w:w="3994" w:type="dxa"/>
          </w:tcPr>
          <w:p w:rsidR="00F95C4F" w:rsidRPr="008F6C01" w:rsidRDefault="004C6CD1" w:rsidP="00332790">
            <w:pPr>
              <w:cnfStyle w:val="000000000000" w:firstRow="0" w:lastRow="0" w:firstColumn="0" w:lastColumn="0" w:oddVBand="0" w:evenVBand="0" w:oddHBand="0" w:evenHBand="0" w:firstRowFirstColumn="0" w:firstRowLastColumn="0" w:lastRowFirstColumn="0" w:lastRowLastColumn="0"/>
            </w:pPr>
            <w:r>
              <w:t>T</w:t>
            </w:r>
            <w:r w:rsidRPr="004C6CD1">
              <w:t xml:space="preserve">he PRA is a systematic review of the protocol, consent form, budget and contract (if applicable) to ensure that these documents are consistent and provide appropriate support and justification for the billing of hospital and professional fee patient care services.  The PRA is a comprehensive analysis to identify standard of care and research patient care services and incorporates </w:t>
            </w:r>
            <w:r>
              <w:t>Medicare coverage principles</w:t>
            </w: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RBR</w:t>
            </w:r>
          </w:p>
        </w:tc>
        <w:tc>
          <w:tcPr>
            <w:tcW w:w="4196" w:type="dxa"/>
          </w:tcPr>
          <w:p w:rsidR="00F95C4F" w:rsidRPr="008F6C01" w:rsidRDefault="00F95C4F" w:rsidP="00332790">
            <w:pPr>
              <w:cnfStyle w:val="000000100000" w:firstRow="0" w:lastRow="0" w:firstColumn="0" w:lastColumn="0" w:oddVBand="0" w:evenVBand="0" w:oddHBand="1" w:evenHBand="0" w:firstRowFirstColumn="0" w:firstRowLastColumn="0" w:lastRowFirstColumn="0" w:lastRowLastColumn="0"/>
            </w:pPr>
            <w:r>
              <w:t>Research Billing Review Report</w:t>
            </w:r>
          </w:p>
        </w:tc>
        <w:tc>
          <w:tcPr>
            <w:tcW w:w="3994" w:type="dxa"/>
          </w:tcPr>
          <w:p w:rsidR="00F95C4F" w:rsidRDefault="004C6CD1" w:rsidP="00332790">
            <w:pPr>
              <w:cnfStyle w:val="000000100000" w:firstRow="0" w:lastRow="0" w:firstColumn="0" w:lastColumn="0" w:oddVBand="0" w:evenVBand="0" w:oddHBand="1" w:evenHBand="0" w:firstRowFirstColumn="0" w:firstRowLastColumn="0" w:lastRowFirstColumn="0" w:lastRowLastColumn="0"/>
            </w:pPr>
            <w:r>
              <w:t>Epic report that contains hospital and physician charges that are holding for review by CRBC</w:t>
            </w: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RCM</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Revenue Cycle Management (formerly PFS)</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SH</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Suburban Hospital</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SMH</w:t>
            </w:r>
          </w:p>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r>
              <w:t xml:space="preserve">Sibley Memorial Hospital </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SOC</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Standard of Care</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SOM</w:t>
            </w:r>
          </w:p>
        </w:tc>
        <w:tc>
          <w:tcPr>
            <w:tcW w:w="4196"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r>
              <w:t xml:space="preserve">School of Medicine </w:t>
            </w:r>
          </w:p>
        </w:tc>
        <w:tc>
          <w:tcPr>
            <w:tcW w:w="3994" w:type="dxa"/>
          </w:tcPr>
          <w:p w:rsidR="00F95C4F" w:rsidRDefault="00F95C4F" w:rsidP="00332790">
            <w:pPr>
              <w:cnfStyle w:val="000000000000" w:firstRow="0" w:lastRow="0" w:firstColumn="0" w:lastColumn="0" w:oddVBand="0" w:evenVBand="0" w:oddHBand="0" w:evenHBand="0" w:firstRowFirstColumn="0" w:firstRowLastColumn="0" w:lastRowFirstColumn="0" w:lastRowLastColumn="0"/>
            </w:pPr>
          </w:p>
        </w:tc>
      </w:tr>
      <w:tr w:rsidR="00F95C4F" w:rsidTr="00F9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r>
              <w:t>WQ</w:t>
            </w:r>
          </w:p>
        </w:tc>
        <w:tc>
          <w:tcPr>
            <w:tcW w:w="4196" w:type="dxa"/>
          </w:tcPr>
          <w:p w:rsidR="00F95C4F" w:rsidRPr="00332790" w:rsidRDefault="00F95C4F" w:rsidP="00332790">
            <w:pPr>
              <w:cnfStyle w:val="000000100000" w:firstRow="0" w:lastRow="0" w:firstColumn="0" w:lastColumn="0" w:oddVBand="0" w:evenVBand="0" w:oddHBand="1" w:evenHBand="0" w:firstRowFirstColumn="0" w:firstRowLastColumn="0" w:lastRowFirstColumn="0" w:lastRowLastColumn="0"/>
            </w:pPr>
            <w:r>
              <w:t>Work queue</w:t>
            </w:r>
          </w:p>
        </w:tc>
        <w:tc>
          <w:tcPr>
            <w:tcW w:w="3994" w:type="dxa"/>
          </w:tcPr>
          <w:p w:rsidR="00F95C4F" w:rsidRDefault="00F95C4F" w:rsidP="00332790">
            <w:pPr>
              <w:cnfStyle w:val="000000100000" w:firstRow="0" w:lastRow="0" w:firstColumn="0" w:lastColumn="0" w:oddVBand="0" w:evenVBand="0" w:oddHBand="1" w:evenHBand="0" w:firstRowFirstColumn="0" w:firstRowLastColumn="0" w:lastRowFirstColumn="0" w:lastRowLastColumn="0"/>
            </w:pPr>
          </w:p>
        </w:tc>
      </w:tr>
      <w:tr w:rsidR="00F95C4F" w:rsidTr="00F95C4F">
        <w:tc>
          <w:tcPr>
            <w:cnfStyle w:val="001000000000" w:firstRow="0" w:lastRow="0" w:firstColumn="1" w:lastColumn="0" w:oddVBand="0" w:evenVBand="0" w:oddHBand="0" w:evenHBand="0" w:firstRowFirstColumn="0" w:firstRowLastColumn="0" w:lastRowFirstColumn="0" w:lastRowLastColumn="0"/>
            <w:tcW w:w="1885" w:type="dxa"/>
          </w:tcPr>
          <w:p w:rsidR="00F95C4F" w:rsidRDefault="00F95C4F" w:rsidP="00332790"/>
        </w:tc>
        <w:tc>
          <w:tcPr>
            <w:tcW w:w="4196"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c>
          <w:tcPr>
            <w:tcW w:w="3994" w:type="dxa"/>
          </w:tcPr>
          <w:p w:rsidR="00F95C4F" w:rsidRPr="00332790" w:rsidRDefault="00F95C4F" w:rsidP="00332790">
            <w:pPr>
              <w:cnfStyle w:val="000000000000" w:firstRow="0" w:lastRow="0" w:firstColumn="0" w:lastColumn="0" w:oddVBand="0" w:evenVBand="0" w:oddHBand="0" w:evenHBand="0" w:firstRowFirstColumn="0" w:firstRowLastColumn="0" w:lastRowFirstColumn="0" w:lastRowLastColumn="0"/>
            </w:pPr>
          </w:p>
        </w:tc>
      </w:tr>
    </w:tbl>
    <w:p w:rsidR="00332790" w:rsidRDefault="00332790" w:rsidP="00332790"/>
    <w:p w:rsidR="008F3252" w:rsidRPr="008F3252" w:rsidRDefault="008F3252" w:rsidP="008F3252">
      <w:pPr>
        <w:pStyle w:val="NoSpacing"/>
        <w:rPr>
          <w:sz w:val="14"/>
        </w:rPr>
      </w:pPr>
      <w:r w:rsidRPr="008F3252">
        <w:rPr>
          <w:sz w:val="14"/>
        </w:rPr>
        <w:t>Prepared by Liza Rodriguez</w:t>
      </w:r>
    </w:p>
    <w:p w:rsidR="008F3252" w:rsidRPr="008F3252" w:rsidRDefault="008F3252" w:rsidP="008F3252">
      <w:pPr>
        <w:pStyle w:val="NoSpacing"/>
        <w:rPr>
          <w:sz w:val="14"/>
        </w:rPr>
      </w:pPr>
      <w:r w:rsidRPr="008F3252">
        <w:rPr>
          <w:sz w:val="14"/>
        </w:rPr>
        <w:t>April 2019</w:t>
      </w:r>
    </w:p>
    <w:p w:rsidR="008F3252" w:rsidRPr="00332790" w:rsidRDefault="008F3252" w:rsidP="00332790"/>
    <w:sectPr w:rsidR="008F3252" w:rsidRPr="00332790" w:rsidSect="00F95C4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E7" w:rsidRDefault="00BD48E7" w:rsidP="00BD48E7">
      <w:pPr>
        <w:spacing w:after="0" w:line="240" w:lineRule="auto"/>
      </w:pPr>
      <w:r>
        <w:separator/>
      </w:r>
    </w:p>
  </w:endnote>
  <w:endnote w:type="continuationSeparator" w:id="0">
    <w:p w:rsidR="00BD48E7" w:rsidRDefault="00BD48E7" w:rsidP="00BD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99725"/>
      <w:docPartObj>
        <w:docPartGallery w:val="Page Numbers (Bottom of Page)"/>
        <w:docPartUnique/>
      </w:docPartObj>
    </w:sdtPr>
    <w:sdtEndPr>
      <w:rPr>
        <w:noProof/>
      </w:rPr>
    </w:sdtEndPr>
    <w:sdtContent>
      <w:p w:rsidR="00BD48E7" w:rsidRDefault="00BD48E7">
        <w:pPr>
          <w:pStyle w:val="Footer"/>
          <w:jc w:val="center"/>
        </w:pPr>
        <w:r>
          <w:fldChar w:fldCharType="begin"/>
        </w:r>
        <w:r>
          <w:instrText xml:space="preserve"> PAGE   \* MERGEFORMAT </w:instrText>
        </w:r>
        <w:r>
          <w:fldChar w:fldCharType="separate"/>
        </w:r>
        <w:r w:rsidR="00CF506E">
          <w:rPr>
            <w:noProof/>
          </w:rPr>
          <w:t>2</w:t>
        </w:r>
        <w:r>
          <w:rPr>
            <w:noProof/>
          </w:rPr>
          <w:fldChar w:fldCharType="end"/>
        </w:r>
      </w:p>
    </w:sdtContent>
  </w:sdt>
  <w:p w:rsidR="00BD48E7" w:rsidRDefault="00BD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E7" w:rsidRDefault="00BD48E7" w:rsidP="00BD48E7">
      <w:pPr>
        <w:spacing w:after="0" w:line="240" w:lineRule="auto"/>
      </w:pPr>
      <w:r>
        <w:separator/>
      </w:r>
    </w:p>
  </w:footnote>
  <w:footnote w:type="continuationSeparator" w:id="0">
    <w:p w:rsidR="00BD48E7" w:rsidRDefault="00BD48E7" w:rsidP="00BD4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90"/>
    <w:rsid w:val="000D1B6B"/>
    <w:rsid w:val="002B6F42"/>
    <w:rsid w:val="002D601F"/>
    <w:rsid w:val="00332790"/>
    <w:rsid w:val="004C6CD1"/>
    <w:rsid w:val="008F3252"/>
    <w:rsid w:val="008F6C01"/>
    <w:rsid w:val="009C038F"/>
    <w:rsid w:val="00BD48E7"/>
    <w:rsid w:val="00CF506E"/>
    <w:rsid w:val="00F9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B6DF"/>
  <w15:chartTrackingRefBased/>
  <w15:docId w15:val="{0B9388E8-BC8E-4FC0-A7E8-7B6425F4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79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3279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8F3252"/>
    <w:pPr>
      <w:spacing w:after="0" w:line="240" w:lineRule="auto"/>
    </w:pPr>
  </w:style>
  <w:style w:type="paragraph" w:styleId="Header">
    <w:name w:val="header"/>
    <w:basedOn w:val="Normal"/>
    <w:link w:val="HeaderChar"/>
    <w:uiPriority w:val="99"/>
    <w:unhideWhenUsed/>
    <w:rsid w:val="00BD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8E7"/>
  </w:style>
  <w:style w:type="paragraph" w:styleId="Footer">
    <w:name w:val="footer"/>
    <w:basedOn w:val="Normal"/>
    <w:link w:val="FooterChar"/>
    <w:uiPriority w:val="99"/>
    <w:unhideWhenUsed/>
    <w:rsid w:val="00BD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7122">
      <w:bodyDiv w:val="1"/>
      <w:marLeft w:val="0"/>
      <w:marRight w:val="0"/>
      <w:marTop w:val="0"/>
      <w:marBottom w:val="0"/>
      <w:divBdr>
        <w:top w:val="none" w:sz="0" w:space="0" w:color="auto"/>
        <w:left w:val="none" w:sz="0" w:space="0" w:color="auto"/>
        <w:bottom w:val="none" w:sz="0" w:space="0" w:color="auto"/>
        <w:right w:val="none" w:sz="0" w:space="0" w:color="auto"/>
      </w:divBdr>
      <w:divsChild>
        <w:div w:id="187172045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Rodriguez</dc:creator>
  <cp:keywords/>
  <dc:description/>
  <cp:lastModifiedBy>Liza Rodriguez</cp:lastModifiedBy>
  <cp:revision>6</cp:revision>
  <dcterms:created xsi:type="dcterms:W3CDTF">2019-04-12T18:25:00Z</dcterms:created>
  <dcterms:modified xsi:type="dcterms:W3CDTF">2019-11-07T16:05:00Z</dcterms:modified>
</cp:coreProperties>
</file>