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36FAA" w14:textId="77777777" w:rsidR="006526D4" w:rsidRPr="00611D46" w:rsidRDefault="00E66815">
      <w:pPr>
        <w:rPr>
          <w:i/>
        </w:rPr>
      </w:pPr>
      <w:r w:rsidRPr="001D2961">
        <w:rPr>
          <w:i/>
          <w:noProof/>
        </w:rPr>
        <mc:AlternateContent>
          <mc:Choice Requires="wps">
            <w:drawing>
              <wp:anchor distT="45720" distB="45720" distL="114300" distR="114300" simplePos="0" relativeHeight="251659264" behindDoc="0" locked="0" layoutInCell="1" allowOverlap="1" wp14:anchorId="6B66F313" wp14:editId="24E99A2C">
                <wp:simplePos x="0" y="0"/>
                <wp:positionH relativeFrom="margin">
                  <wp:posOffset>-9525</wp:posOffset>
                </wp:positionH>
                <wp:positionV relativeFrom="paragraph">
                  <wp:posOffset>45720</wp:posOffset>
                </wp:positionV>
                <wp:extent cx="6858000" cy="14382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38275"/>
                        </a:xfrm>
                        <a:prstGeom prst="rect">
                          <a:avLst/>
                        </a:prstGeom>
                        <a:solidFill>
                          <a:schemeClr val="bg1">
                            <a:lumMod val="95000"/>
                          </a:schemeClr>
                        </a:solidFill>
                        <a:ln w="9525">
                          <a:solidFill>
                            <a:schemeClr val="accent3"/>
                          </a:solidFill>
                          <a:miter lim="800000"/>
                          <a:headEnd/>
                          <a:tailEnd/>
                        </a:ln>
                      </wps:spPr>
                      <wps:txbx>
                        <w:txbxContent>
                          <w:p w14:paraId="40ACEBA5" w14:textId="77777777" w:rsidR="00E66815" w:rsidRPr="00E66815" w:rsidRDefault="00E66815" w:rsidP="00E66815">
                            <w:pPr>
                              <w:pStyle w:val="Heading1"/>
                              <w:spacing w:before="0"/>
                              <w:rPr>
                                <w:b/>
                                <w:i/>
                                <w:color w:val="auto"/>
                              </w:rPr>
                            </w:pPr>
                            <w:r w:rsidRPr="001D2961">
                              <w:rPr>
                                <w:b/>
                                <w:i/>
                                <w:color w:val="auto"/>
                              </w:rPr>
                              <w:t xml:space="preserve">Instructions: </w:t>
                            </w:r>
                          </w:p>
                          <w:p w14:paraId="44D8E9CA" w14:textId="4D19E085" w:rsidR="00E66815" w:rsidRDefault="00E66815" w:rsidP="00E66815">
                            <w:pPr>
                              <w:rPr>
                                <w:i/>
                              </w:rPr>
                            </w:pPr>
                            <w:r w:rsidRPr="00A872B8">
                              <w:rPr>
                                <w:i/>
                              </w:rPr>
                              <w:t>Use this communication template to update participating units on their urine culturing progress.</w:t>
                            </w:r>
                          </w:p>
                          <w:p w14:paraId="1B28A12D" w14:textId="357210BA" w:rsidR="00E66815" w:rsidRPr="0059321A" w:rsidRDefault="00E66815" w:rsidP="00E66815">
                            <w:pPr>
                              <w:rPr>
                                <w:i/>
                              </w:rPr>
                            </w:pPr>
                            <w:r w:rsidRPr="00A872B8">
                              <w:rPr>
                                <w:i/>
                              </w:rPr>
                              <w:t>Brackets [</w:t>
                            </w:r>
                            <w:r w:rsidRPr="006526D4">
                              <w:rPr>
                                <w:i/>
                                <w:u w:val="single"/>
                              </w:rPr>
                              <w:t>TEXT</w:t>
                            </w:r>
                            <w:r w:rsidRPr="00A872B8">
                              <w:rPr>
                                <w:i/>
                              </w:rPr>
                              <w:t xml:space="preserve">] indicate locations to insert </w:t>
                            </w:r>
                            <w:r>
                              <w:rPr>
                                <w:i/>
                              </w:rPr>
                              <w:t xml:space="preserve">appropriate text (as specified within the brackets). </w:t>
                            </w:r>
                            <w:r w:rsidR="00956F35">
                              <w:rPr>
                                <w:i/>
                              </w:rPr>
                              <w:t>Convert upper case and bold font within the brackets to match the rest of the email.</w:t>
                            </w:r>
                            <w:r w:rsidR="00E30A8F">
                              <w:rPr>
                                <w:i/>
                              </w:rPr>
                              <w:t xml:space="preserve"> </w:t>
                            </w:r>
                            <w:r>
                              <w:rPr>
                                <w:i/>
                              </w:rPr>
                              <w:t>Italicized text such as this paragraph (whether in brackets or not) indicate</w:t>
                            </w:r>
                            <w:r w:rsidRPr="00A872B8">
                              <w:rPr>
                                <w:i/>
                              </w:rPr>
                              <w:t xml:space="preserve"> </w:t>
                            </w:r>
                            <w:r>
                              <w:rPr>
                                <w:i/>
                              </w:rPr>
                              <w:t>instructions to the reader and should be deleted before submission to respective groups/units.</w:t>
                            </w:r>
                          </w:p>
                          <w:p w14:paraId="00BC07B4" w14:textId="77777777" w:rsidR="00E66815" w:rsidRPr="00FD4635" w:rsidRDefault="00E66815" w:rsidP="00E6681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66F313" id="_x0000_t202" coordsize="21600,21600" o:spt="202" path="m,l,21600r21600,l21600,xe">
                <v:stroke joinstyle="miter"/>
                <v:path gradientshapeok="t" o:connecttype="rect"/>
              </v:shapetype>
              <v:shape id="Text Box 2" o:spid="_x0000_s1026" type="#_x0000_t202" style="position:absolute;margin-left:-.75pt;margin-top:3.6pt;width:540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" fillcolor="#f2f2f2 [3052]" strokecolor="#a5a5a5 [3206]">
                <v:textbox>
                  <w:txbxContent>
                    <w:p w14:paraId="40ACEBA5" w14:textId="77777777" w:rsidR="00E66815" w:rsidRPr="00E66815" w:rsidRDefault="00E66815" w:rsidP="00E66815">
                      <w:pPr>
                        <w:pStyle w:val="Heading1"/>
                        <w:spacing w:before="0"/>
                        <w:rPr>
                          <w:b/>
                          <w:i/>
                          <w:color w:val="auto"/>
                        </w:rPr>
                      </w:pPr>
                      <w:r w:rsidRPr="001D2961">
                        <w:rPr>
                          <w:b/>
                          <w:i/>
                          <w:color w:val="auto"/>
                        </w:rPr>
                        <w:t xml:space="preserve">Instructions: </w:t>
                      </w:r>
                    </w:p>
                    <w:p w14:paraId="44D8E9CA" w14:textId="4D19E085" w:rsidR="00E66815" w:rsidRDefault="00E66815" w:rsidP="00E66815">
                      <w:pPr>
                        <w:rPr>
                          <w:i/>
                        </w:rPr>
                      </w:pPr>
                      <w:r w:rsidRPr="00A872B8">
                        <w:rPr>
                          <w:i/>
                        </w:rPr>
                        <w:t>Use this communication template to update participating units on their urine culturing progress.</w:t>
                      </w:r>
                    </w:p>
                    <w:p w14:paraId="1B28A12D" w14:textId="357210BA" w:rsidR="00E66815" w:rsidRPr="0059321A" w:rsidRDefault="00E66815" w:rsidP="00E66815">
                      <w:pPr>
                        <w:rPr>
                          <w:i/>
                        </w:rPr>
                      </w:pPr>
                      <w:r w:rsidRPr="00A872B8">
                        <w:rPr>
                          <w:i/>
                        </w:rPr>
                        <w:t>Brackets [</w:t>
                      </w:r>
                      <w:r w:rsidRPr="006526D4">
                        <w:rPr>
                          <w:i/>
                          <w:u w:val="single"/>
                        </w:rPr>
                        <w:t>TEXT</w:t>
                      </w:r>
                      <w:r w:rsidRPr="00A872B8">
                        <w:rPr>
                          <w:i/>
                        </w:rPr>
                        <w:t xml:space="preserve">] indicate locations to insert </w:t>
                      </w:r>
                      <w:r>
                        <w:rPr>
                          <w:i/>
                        </w:rPr>
                        <w:t xml:space="preserve">appropriate text (as specified within the brackets). </w:t>
                      </w:r>
                      <w:r w:rsidR="00956F35">
                        <w:rPr>
                          <w:i/>
                        </w:rPr>
                        <w:t>Convert upper case and bold font within the brackets to match the rest of the email.</w:t>
                      </w:r>
                      <w:r w:rsidR="00E30A8F">
                        <w:rPr>
                          <w:i/>
                        </w:rPr>
                        <w:t xml:space="preserve"> </w:t>
                      </w:r>
                      <w:r>
                        <w:rPr>
                          <w:i/>
                        </w:rPr>
                        <w:t>Italicized text such as this paragraph (whether in brackets or not) indicate</w:t>
                      </w:r>
                      <w:r w:rsidRPr="00A872B8">
                        <w:rPr>
                          <w:i/>
                        </w:rPr>
                        <w:t xml:space="preserve"> </w:t>
                      </w:r>
                      <w:r>
                        <w:rPr>
                          <w:i/>
                        </w:rPr>
                        <w:t>instructions to the reader and should be deleted before submission to respective groups/units.</w:t>
                      </w:r>
                    </w:p>
                    <w:p w14:paraId="00BC07B4" w14:textId="77777777" w:rsidR="00E66815" w:rsidRPr="00FD4635" w:rsidRDefault="00E66815" w:rsidP="00E66815">
                      <w:pPr>
                        <w:rPr>
                          <w:i/>
                        </w:rPr>
                      </w:pPr>
                    </w:p>
                  </w:txbxContent>
                </v:textbox>
                <w10:wrap type="topAndBottom" anchorx="margin"/>
              </v:shape>
            </w:pict>
          </mc:Fallback>
        </mc:AlternateContent>
      </w:r>
      <w:r w:rsidR="006526D4">
        <w:rPr>
          <w:i/>
        </w:rPr>
        <w:t xml:space="preserve">Email subject: </w:t>
      </w:r>
      <w:r w:rsidR="00673A02">
        <w:rPr>
          <w:b/>
        </w:rPr>
        <w:t>[</w:t>
      </w:r>
      <w:r w:rsidR="00673A02" w:rsidRPr="00F70948">
        <w:rPr>
          <w:b/>
          <w:i/>
          <w:u w:val="single"/>
        </w:rPr>
        <w:t>Name the intervention</w:t>
      </w:r>
      <w:r w:rsidR="00673A02" w:rsidRPr="006526D4">
        <w:rPr>
          <w:b/>
        </w:rPr>
        <w:t>] Progress Report [</w:t>
      </w:r>
      <w:r w:rsidR="00673A02" w:rsidRPr="00A227C9">
        <w:rPr>
          <w:b/>
          <w:u w:val="single"/>
        </w:rPr>
        <w:t>#</w:t>
      </w:r>
      <w:r w:rsidR="00673A02" w:rsidRPr="006526D4">
        <w:rPr>
          <w:b/>
        </w:rPr>
        <w:t>]</w:t>
      </w:r>
    </w:p>
    <w:p w14:paraId="25FFC7A5" w14:textId="77777777" w:rsidR="006526D4" w:rsidRDefault="006526D4">
      <w:pPr>
        <w:rPr>
          <w:i/>
        </w:rPr>
      </w:pPr>
      <w:r w:rsidRPr="006526D4">
        <w:rPr>
          <w:i/>
        </w:rPr>
        <w:t xml:space="preserve">Email text: </w:t>
      </w:r>
      <w:r w:rsidR="00053DC8" w:rsidRPr="00053DC8">
        <w:rPr>
          <w:b/>
          <w:i/>
        </w:rPr>
        <w:t>[</w:t>
      </w:r>
      <w:r w:rsidR="00A227C9" w:rsidRPr="00266041">
        <w:rPr>
          <w:b/>
          <w:i/>
          <w:u w:val="single"/>
        </w:rPr>
        <w:t>Include a brief summary of the report contents and create dialogue to encourage unit engagement (offer to have the study team speak to nurses or physicians on the unit concerning recent progress and areas for improvement). Provide this report as a PDF attachment.</w:t>
      </w:r>
      <w:r w:rsidR="00053DC8" w:rsidRPr="00266041">
        <w:rPr>
          <w:b/>
          <w:i/>
          <w:u w:val="single"/>
        </w:rPr>
        <w:t xml:space="preserve"> Make sure to include the algorithm as a PDF attachment with every email.</w:t>
      </w:r>
      <w:r w:rsidR="00053DC8">
        <w:rPr>
          <w:b/>
          <w:i/>
        </w:rPr>
        <w:t>]</w:t>
      </w:r>
    </w:p>
    <w:p w14:paraId="609ABFC2" w14:textId="77777777" w:rsidR="00A227C9" w:rsidRPr="00A227C9" w:rsidRDefault="00A227C9">
      <w:r w:rsidRPr="00A227C9">
        <w:t>Dear [</w:t>
      </w:r>
      <w:r w:rsidRPr="00266041">
        <w:rPr>
          <w:u w:val="single"/>
        </w:rPr>
        <w:t>PARTICIPATING GROUP/UNIT</w:t>
      </w:r>
      <w:r w:rsidR="001849E0">
        <w:rPr>
          <w:u w:val="single"/>
        </w:rPr>
        <w:t xml:space="preserve"> MEMBERS</w:t>
      </w:r>
      <w:r w:rsidRPr="00A227C9">
        <w:t>],</w:t>
      </w:r>
    </w:p>
    <w:p w14:paraId="2BBB65DF" w14:textId="77777777" w:rsidR="006D764E" w:rsidRPr="00A872B8" w:rsidRDefault="006526D4">
      <w:r>
        <w:rPr>
          <w:i/>
        </w:rPr>
        <w:t xml:space="preserve">INTRODUCTION </w:t>
      </w:r>
      <w:r w:rsidRPr="006526D4">
        <w:rPr>
          <w:i/>
        </w:rPr>
        <w:t>TO ADDRESS PHYSICIANS</w:t>
      </w:r>
      <w:r w:rsidR="00A872B8" w:rsidRPr="006526D4">
        <w:rPr>
          <w:i/>
        </w:rPr>
        <w:t>:</w:t>
      </w:r>
      <w:r w:rsidR="00A872B8" w:rsidRPr="00A872B8">
        <w:t xml:space="preserve"> </w:t>
      </w:r>
      <w:r w:rsidR="006D764E" w:rsidRPr="00A872B8">
        <w:t xml:space="preserve">Thank you for supporting our </w:t>
      </w:r>
      <w:r w:rsidR="009A4C09" w:rsidRPr="00A872B8">
        <w:t xml:space="preserve">partnership with nurses to </w:t>
      </w:r>
      <w:r w:rsidR="006D764E" w:rsidRPr="00A872B8">
        <w:t xml:space="preserve">reduce unnecessary urine </w:t>
      </w:r>
      <w:r w:rsidR="00053DC8">
        <w:t xml:space="preserve">bacterial </w:t>
      </w:r>
      <w:r w:rsidR="006D764E" w:rsidRPr="00A872B8">
        <w:t xml:space="preserve">cultures and </w:t>
      </w:r>
      <w:r w:rsidR="00E20D5E" w:rsidRPr="00A872B8">
        <w:t xml:space="preserve">inappropriate </w:t>
      </w:r>
      <w:r w:rsidR="006D764E" w:rsidRPr="00A872B8">
        <w:t>treatment of asymptomatic bacteriuria</w:t>
      </w:r>
      <w:r w:rsidR="009A4C09" w:rsidRPr="00A872B8">
        <w:t xml:space="preserve"> (ASB)</w:t>
      </w:r>
      <w:r w:rsidR="006D764E" w:rsidRPr="00A872B8">
        <w:t xml:space="preserve">. </w:t>
      </w:r>
      <w:r w:rsidR="00053DC8">
        <w:t xml:space="preserve">Nurses are utilizing </w:t>
      </w:r>
      <w:r w:rsidR="009A4C09" w:rsidRPr="00A872B8">
        <w:t xml:space="preserve">an algorithm </w:t>
      </w:r>
      <w:r w:rsidR="006D764E" w:rsidRPr="00A872B8">
        <w:t xml:space="preserve">developed by </w:t>
      </w:r>
      <w:r w:rsidR="00053DC8">
        <w:t>The Johns Hopkins Hospital Department of</w:t>
      </w:r>
      <w:r w:rsidR="006D764E" w:rsidRPr="00A872B8">
        <w:t xml:space="preserve"> A</w:t>
      </w:r>
      <w:r w:rsidR="00053DC8">
        <w:t>ntimicrobial Stewardship</w:t>
      </w:r>
      <w:r w:rsidR="006D764E" w:rsidRPr="00A872B8">
        <w:t xml:space="preserve"> </w:t>
      </w:r>
      <w:r w:rsidR="009A4C09" w:rsidRPr="00A872B8">
        <w:t>that</w:t>
      </w:r>
      <w:r w:rsidR="006D764E" w:rsidRPr="00A872B8">
        <w:t xml:space="preserve"> is based on national guidelines</w:t>
      </w:r>
      <w:r w:rsidR="00053DC8">
        <w:t xml:space="preserve"> to help </w:t>
      </w:r>
      <w:r w:rsidR="00AC2057">
        <w:t>front-line staff</w:t>
      </w:r>
      <w:r w:rsidR="00053DC8">
        <w:t xml:space="preserve"> </w:t>
      </w:r>
      <w:r w:rsidR="009A4C09" w:rsidRPr="00A872B8">
        <w:t>review appropriate indications for</w:t>
      </w:r>
      <w:r w:rsidR="00053DC8">
        <w:t xml:space="preserve"> collecting</w:t>
      </w:r>
      <w:r w:rsidR="009A4C09" w:rsidRPr="00A872B8">
        <w:t xml:space="preserve"> urine</w:t>
      </w:r>
      <w:r w:rsidR="00053DC8">
        <w:t xml:space="preserve"> specimens for bacterial culture</w:t>
      </w:r>
      <w:r w:rsidR="006D764E" w:rsidRPr="00A872B8">
        <w:t>.</w:t>
      </w:r>
    </w:p>
    <w:p w14:paraId="4F3FE12C" w14:textId="77777777" w:rsidR="00A872B8" w:rsidRPr="00053DC8" w:rsidRDefault="006526D4">
      <w:r>
        <w:rPr>
          <w:i/>
        </w:rPr>
        <w:t xml:space="preserve">INTRODUCTION </w:t>
      </w:r>
      <w:r w:rsidRPr="006526D4">
        <w:rPr>
          <w:i/>
        </w:rPr>
        <w:t>TO ADDRESS NURSES</w:t>
      </w:r>
      <w:r w:rsidR="00A872B8" w:rsidRPr="006526D4">
        <w:rPr>
          <w:i/>
        </w:rPr>
        <w:t>:</w:t>
      </w:r>
      <w:r w:rsidR="00053DC8">
        <w:rPr>
          <w:i/>
        </w:rPr>
        <w:t xml:space="preserve"> </w:t>
      </w:r>
      <w:r w:rsidR="00053DC8">
        <w:t>Thank you for your participation to reduce</w:t>
      </w:r>
      <w:r w:rsidR="00053DC8" w:rsidRPr="00053DC8">
        <w:t xml:space="preserve"> </w:t>
      </w:r>
      <w:r w:rsidR="00053DC8" w:rsidRPr="00A872B8">
        <w:t xml:space="preserve">unnecessary urine </w:t>
      </w:r>
      <w:r w:rsidR="00053DC8">
        <w:t xml:space="preserve">bacterial </w:t>
      </w:r>
      <w:r w:rsidR="00053DC8" w:rsidRPr="00A872B8">
        <w:t>cultures and inappropriate treatment of asymptomatic bacteriuria (ASB).</w:t>
      </w:r>
      <w:r w:rsidR="00053DC8">
        <w:t xml:space="preserve"> </w:t>
      </w:r>
    </w:p>
    <w:p w14:paraId="60AE218F" w14:textId="77777777" w:rsidR="006D764E" w:rsidRPr="00A872B8" w:rsidRDefault="00053DC8" w:rsidP="0054751D">
      <w:pPr>
        <w:spacing w:after="0"/>
      </w:pPr>
      <w:r>
        <w:t>Below are preliminary results that we</w:t>
      </w:r>
      <w:r w:rsidR="006D764E" w:rsidRPr="00A872B8">
        <w:t xml:space="preserve"> would like to share with you.</w:t>
      </w:r>
      <w:r w:rsidR="0054751D" w:rsidRPr="00A872B8">
        <w:t xml:space="preserve"> </w:t>
      </w:r>
    </w:p>
    <w:p w14:paraId="134A5D38" w14:textId="77777777" w:rsidR="0047244C" w:rsidRPr="00266041" w:rsidRDefault="00053DC8" w:rsidP="00E20D5E">
      <w:pPr>
        <w:pStyle w:val="ListParagraph"/>
        <w:numPr>
          <w:ilvl w:val="0"/>
          <w:numId w:val="2"/>
        </w:numPr>
        <w:spacing w:after="0"/>
        <w:rPr>
          <w:i/>
          <w:u w:val="single"/>
        </w:rPr>
      </w:pPr>
      <w:r w:rsidRPr="00266041">
        <w:rPr>
          <w:i/>
          <w:u w:val="single"/>
        </w:rPr>
        <w:t>[</w:t>
      </w:r>
      <w:r w:rsidR="0047244C" w:rsidRPr="00266041">
        <w:rPr>
          <w:i/>
          <w:u w:val="single"/>
        </w:rPr>
        <w:t>Include the progress report period being analyzed]</w:t>
      </w:r>
      <w:r w:rsidR="001849E0">
        <w:rPr>
          <w:i/>
          <w:u w:val="single"/>
        </w:rPr>
        <w:t>.</w:t>
      </w:r>
    </w:p>
    <w:p w14:paraId="26E6E0E5" w14:textId="3445B2C6" w:rsidR="0054751D" w:rsidRPr="00266041" w:rsidRDefault="0047244C" w:rsidP="00E20D5E">
      <w:pPr>
        <w:pStyle w:val="ListParagraph"/>
        <w:numPr>
          <w:ilvl w:val="0"/>
          <w:numId w:val="2"/>
        </w:numPr>
        <w:spacing w:after="0"/>
        <w:rPr>
          <w:i/>
          <w:u w:val="single"/>
        </w:rPr>
      </w:pPr>
      <w:r w:rsidRPr="00266041">
        <w:rPr>
          <w:i/>
          <w:u w:val="single"/>
        </w:rPr>
        <w:t xml:space="preserve">[Include </w:t>
      </w:r>
      <w:r w:rsidR="00E20D5E" w:rsidRPr="00266041">
        <w:rPr>
          <w:i/>
          <w:u w:val="single"/>
        </w:rPr>
        <w:t>o</w:t>
      </w:r>
      <w:r w:rsidR="000279BB" w:rsidRPr="00266041">
        <w:rPr>
          <w:i/>
          <w:u w:val="single"/>
        </w:rPr>
        <w:t>rder culture rate</w:t>
      </w:r>
      <w:r w:rsidR="00E20D5E" w:rsidRPr="00266041">
        <w:rPr>
          <w:i/>
          <w:u w:val="single"/>
        </w:rPr>
        <w:t>s</w:t>
      </w:r>
      <w:r w:rsidR="000279BB" w:rsidRPr="00266041">
        <w:rPr>
          <w:i/>
          <w:u w:val="single"/>
        </w:rPr>
        <w:t xml:space="preserve"> </w:t>
      </w:r>
      <w:r w:rsidR="00053DC8" w:rsidRPr="00266041">
        <w:rPr>
          <w:i/>
          <w:u w:val="single"/>
        </w:rPr>
        <w:t>(</w:t>
      </w:r>
      <w:r w:rsidR="00AB70B7">
        <w:rPr>
          <w:i/>
          <w:u w:val="single"/>
        </w:rPr>
        <w:t>e.g.,</w:t>
      </w:r>
      <w:bookmarkStart w:id="0" w:name="_GoBack"/>
      <w:bookmarkEnd w:id="0"/>
      <w:r w:rsidR="00AB70B7">
        <w:rPr>
          <w:i/>
          <w:u w:val="single"/>
        </w:rPr>
        <w:t xml:space="preserve"> with a control chart</w:t>
      </w:r>
      <w:r w:rsidR="00053DC8" w:rsidRPr="00266041">
        <w:rPr>
          <w:i/>
          <w:u w:val="single"/>
        </w:rPr>
        <w:t>)</w:t>
      </w:r>
      <w:r w:rsidRPr="00266041">
        <w:rPr>
          <w:i/>
          <w:u w:val="single"/>
        </w:rPr>
        <w:t>, along with the percent change between the pre- and post-intervention periods</w:t>
      </w:r>
      <w:r w:rsidR="00053DC8" w:rsidRPr="00266041">
        <w:rPr>
          <w:i/>
          <w:u w:val="single"/>
        </w:rPr>
        <w:t>]</w:t>
      </w:r>
      <w:r w:rsidR="001849E0">
        <w:rPr>
          <w:i/>
          <w:u w:val="single"/>
        </w:rPr>
        <w:t>.</w:t>
      </w:r>
    </w:p>
    <w:p w14:paraId="024E89D6" w14:textId="77777777" w:rsidR="00CF4D4F" w:rsidRPr="00266041" w:rsidRDefault="000279BB" w:rsidP="00CF5656">
      <w:pPr>
        <w:pStyle w:val="ListParagraph"/>
        <w:numPr>
          <w:ilvl w:val="0"/>
          <w:numId w:val="2"/>
        </w:numPr>
        <w:spacing w:after="0"/>
        <w:rPr>
          <w:i/>
          <w:u w:val="single"/>
        </w:rPr>
      </w:pPr>
      <w:r w:rsidRPr="00266041">
        <w:rPr>
          <w:i/>
          <w:u w:val="single"/>
        </w:rPr>
        <w:t>[</w:t>
      </w:r>
      <w:r w:rsidR="0047244C" w:rsidRPr="00266041">
        <w:rPr>
          <w:i/>
          <w:u w:val="single"/>
        </w:rPr>
        <w:t>I</w:t>
      </w:r>
      <w:r w:rsidR="006602CC" w:rsidRPr="00266041">
        <w:rPr>
          <w:i/>
          <w:u w:val="single"/>
        </w:rPr>
        <w:t>nclude</w:t>
      </w:r>
      <w:r w:rsidR="00E20D5E" w:rsidRPr="00266041">
        <w:rPr>
          <w:i/>
          <w:u w:val="single"/>
        </w:rPr>
        <w:t xml:space="preserve"> data on t</w:t>
      </w:r>
      <w:r w:rsidRPr="00266041">
        <w:rPr>
          <w:i/>
          <w:u w:val="single"/>
        </w:rPr>
        <w:t>he number of</w:t>
      </w:r>
      <w:r w:rsidR="00E356CC" w:rsidRPr="00266041">
        <w:rPr>
          <w:i/>
          <w:u w:val="single"/>
        </w:rPr>
        <w:t xml:space="preserve"> cases of ASB treated </w:t>
      </w:r>
      <w:r w:rsidRPr="00266041">
        <w:rPr>
          <w:i/>
          <w:u w:val="single"/>
        </w:rPr>
        <w:t>with antibiotics</w:t>
      </w:r>
      <w:r w:rsidR="0047244C" w:rsidRPr="00266041">
        <w:rPr>
          <w:i/>
          <w:u w:val="single"/>
        </w:rPr>
        <w:t>, along with the percent change between the pre- and post-intervention periods (if applicable)</w:t>
      </w:r>
      <w:r w:rsidRPr="00266041">
        <w:rPr>
          <w:i/>
          <w:u w:val="single"/>
        </w:rPr>
        <w:t>]</w:t>
      </w:r>
      <w:r w:rsidR="001849E0">
        <w:rPr>
          <w:i/>
          <w:u w:val="single"/>
        </w:rPr>
        <w:t>.</w:t>
      </w:r>
    </w:p>
    <w:p w14:paraId="1A0A85A6" w14:textId="77777777" w:rsidR="0047244C" w:rsidRPr="00266041" w:rsidRDefault="0047244C" w:rsidP="00CF5656">
      <w:pPr>
        <w:pStyle w:val="ListParagraph"/>
        <w:numPr>
          <w:ilvl w:val="0"/>
          <w:numId w:val="2"/>
        </w:numPr>
        <w:spacing w:after="0"/>
        <w:rPr>
          <w:i/>
          <w:u w:val="single"/>
        </w:rPr>
      </w:pPr>
      <w:r w:rsidRPr="00266041">
        <w:rPr>
          <w:i/>
          <w:u w:val="single"/>
        </w:rPr>
        <w:t>[Include data on appropriateness regarding indications for urine bacterial culture orders, along with the percent change between the pre- and post-intervention periods (if applicable)]</w:t>
      </w:r>
      <w:r w:rsidR="001849E0">
        <w:rPr>
          <w:i/>
          <w:u w:val="single"/>
        </w:rPr>
        <w:t>.</w:t>
      </w:r>
    </w:p>
    <w:p w14:paraId="20B5FFE9" w14:textId="77777777" w:rsidR="0047244C" w:rsidRPr="0047244C" w:rsidRDefault="0047244C" w:rsidP="00CF5656">
      <w:pPr>
        <w:pStyle w:val="ListParagraph"/>
        <w:numPr>
          <w:ilvl w:val="0"/>
          <w:numId w:val="2"/>
        </w:numPr>
        <w:spacing w:after="0"/>
        <w:rPr>
          <w:i/>
        </w:rPr>
      </w:pPr>
      <w:r w:rsidRPr="00266041">
        <w:rPr>
          <w:i/>
          <w:u w:val="single"/>
        </w:rPr>
        <w:t>[Make sure to highlight areas of concern or improvement]</w:t>
      </w:r>
      <w:r w:rsidR="001849E0">
        <w:rPr>
          <w:i/>
          <w:u w:val="single"/>
        </w:rPr>
        <w:t>.</w:t>
      </w:r>
    </w:p>
    <w:p w14:paraId="01274685" w14:textId="77777777" w:rsidR="0047244C" w:rsidRDefault="0047244C" w:rsidP="0047244C">
      <w:pPr>
        <w:spacing w:after="0"/>
      </w:pPr>
    </w:p>
    <w:p w14:paraId="5AC90A9F" w14:textId="77777777" w:rsidR="0054751D" w:rsidRDefault="0047244C" w:rsidP="0047244C">
      <w:pPr>
        <w:spacing w:after="0"/>
      </w:pPr>
      <w:r>
        <w:t xml:space="preserve">Please review the examples below of inappropriate reasons prescribers order urine bacterial cultures for: </w:t>
      </w:r>
    </w:p>
    <w:p w14:paraId="6DA95957" w14:textId="77777777" w:rsidR="00266041" w:rsidRPr="00266041" w:rsidRDefault="00266041" w:rsidP="00266041">
      <w:pPr>
        <w:pStyle w:val="ListParagraph"/>
        <w:numPr>
          <w:ilvl w:val="0"/>
          <w:numId w:val="1"/>
        </w:numPr>
        <w:spacing w:after="0"/>
        <w:rPr>
          <w:i/>
          <w:u w:val="single"/>
        </w:rPr>
      </w:pPr>
      <w:r w:rsidRPr="00266041">
        <w:rPr>
          <w:i/>
          <w:u w:val="single"/>
        </w:rPr>
        <w:t xml:space="preserve">[Insert </w:t>
      </w:r>
      <w:r>
        <w:rPr>
          <w:i/>
          <w:u w:val="single"/>
        </w:rPr>
        <w:t xml:space="preserve">up to four examples, including any of the below examples </w:t>
      </w:r>
      <w:r w:rsidRPr="00266041">
        <w:rPr>
          <w:i/>
          <w:u w:val="single"/>
        </w:rPr>
        <w:t>or examples specific to the participating group/unit</w:t>
      </w:r>
      <w:r>
        <w:rPr>
          <w:i/>
          <w:u w:val="single"/>
        </w:rPr>
        <w:t xml:space="preserve"> upon chart review</w:t>
      </w:r>
      <w:r w:rsidRPr="00266041">
        <w:rPr>
          <w:i/>
          <w:u w:val="single"/>
        </w:rPr>
        <w:t xml:space="preserve"> (if applicable)]</w:t>
      </w:r>
      <w:r w:rsidR="001849E0">
        <w:rPr>
          <w:i/>
          <w:u w:val="single"/>
        </w:rPr>
        <w:t>.</w:t>
      </w:r>
    </w:p>
    <w:p w14:paraId="14D55346" w14:textId="77777777" w:rsidR="00266041" w:rsidRPr="00A872B8" w:rsidRDefault="00266041" w:rsidP="00266041">
      <w:pPr>
        <w:pStyle w:val="ListParagraph"/>
        <w:numPr>
          <w:ilvl w:val="0"/>
          <w:numId w:val="1"/>
        </w:numPr>
        <w:spacing w:after="0"/>
      </w:pPr>
      <w:r w:rsidRPr="00A872B8">
        <w:t>Asymptomatic patient with incidental bladder wall thickening and normal/mild pyuria UA</w:t>
      </w:r>
      <w:r>
        <w:t>.</w:t>
      </w:r>
    </w:p>
    <w:p w14:paraId="56E850DC" w14:textId="77777777" w:rsidR="00266041" w:rsidRDefault="00266041" w:rsidP="00266041">
      <w:pPr>
        <w:pStyle w:val="ListParagraph"/>
        <w:numPr>
          <w:ilvl w:val="0"/>
          <w:numId w:val="1"/>
        </w:numPr>
        <w:spacing w:after="0"/>
      </w:pPr>
      <w:r w:rsidRPr="00A872B8">
        <w:t>Delirium work-up in patients with dementia without fever or localizing urinary symptoms and normal UAs. For the lat</w:t>
      </w:r>
      <w:r>
        <w:t>t</w:t>
      </w:r>
      <w:r w:rsidRPr="00A872B8">
        <w:t>er, bacteriuria and delirium are both common in older people; thus, it can be difficult to understand if there is a causal relationshi</w:t>
      </w:r>
      <w:r>
        <w:t>p between these two conditions.</w:t>
      </w:r>
    </w:p>
    <w:p w14:paraId="2972FD1D" w14:textId="053DEB42" w:rsidR="00266041" w:rsidRPr="00A872B8" w:rsidRDefault="00266041" w:rsidP="00266041">
      <w:pPr>
        <w:pStyle w:val="ListParagraph"/>
        <w:numPr>
          <w:ilvl w:val="1"/>
          <w:numId w:val="1"/>
        </w:numPr>
        <w:spacing w:after="0"/>
      </w:pPr>
      <w:r w:rsidRPr="00A872B8">
        <w:t>There is no evidence that delirium, falls, or confusion are symptoms of a UTI in the absence of development of symptoms related to the urinary tract such as dysuria or that asymptomatic bacteriuria is associated with delirium.</w:t>
      </w:r>
    </w:p>
    <w:p w14:paraId="3B64F84F" w14:textId="77777777" w:rsidR="00266041" w:rsidRPr="00A872B8" w:rsidRDefault="00266041" w:rsidP="00266041">
      <w:pPr>
        <w:pStyle w:val="ListParagraph"/>
        <w:numPr>
          <w:ilvl w:val="0"/>
          <w:numId w:val="1"/>
        </w:numPr>
        <w:spacing w:after="0"/>
      </w:pPr>
      <w:r w:rsidRPr="00A872B8">
        <w:t>Urine cultures to work up leukocytosis, pyuria, or altered mental status without the presence of urinary symptoms (e.g., dysuria, urinary urgency, and suprapubic or flank pain).</w:t>
      </w:r>
    </w:p>
    <w:p w14:paraId="2B96C013" w14:textId="3376FEEC" w:rsidR="00266041" w:rsidRPr="00A872B8" w:rsidRDefault="00266041" w:rsidP="00266041">
      <w:pPr>
        <w:pStyle w:val="ListParagraph"/>
        <w:numPr>
          <w:ilvl w:val="0"/>
          <w:numId w:val="1"/>
        </w:numPr>
        <w:spacing w:after="0"/>
      </w:pPr>
      <w:r w:rsidRPr="00A872B8">
        <w:lastRenderedPageBreak/>
        <w:t>Diffuse or non-suprapubic abdominal pain with a clear alternative diagnosis and lack of UTI symptoms with/without pyuria</w:t>
      </w:r>
      <w:r>
        <w:t>.</w:t>
      </w:r>
    </w:p>
    <w:p w14:paraId="5153566B" w14:textId="77777777" w:rsidR="00266041" w:rsidRDefault="00266041" w:rsidP="00266041">
      <w:pPr>
        <w:pStyle w:val="ListParagraph"/>
        <w:numPr>
          <w:ilvl w:val="0"/>
          <w:numId w:val="1"/>
        </w:numPr>
        <w:spacing w:after="0"/>
      </w:pPr>
      <w:r w:rsidRPr="00A872B8">
        <w:t>Work-up for delirium, arrhythmias, etc. in patients without urinary symptoms, especially with normal UAs</w:t>
      </w:r>
      <w:r w:rsidR="001849E0">
        <w:t>.</w:t>
      </w:r>
    </w:p>
    <w:p w14:paraId="05272596" w14:textId="77777777" w:rsidR="00266041" w:rsidRDefault="00266041" w:rsidP="00266041">
      <w:pPr>
        <w:pStyle w:val="ListParagraph"/>
        <w:numPr>
          <w:ilvl w:val="0"/>
          <w:numId w:val="1"/>
        </w:numPr>
        <w:spacing w:after="0"/>
      </w:pPr>
      <w:r>
        <w:t>To assess response to treatment for an existing UTI</w:t>
      </w:r>
      <w:r w:rsidR="001849E0">
        <w:t>.</w:t>
      </w:r>
    </w:p>
    <w:p w14:paraId="49D98F62" w14:textId="77777777" w:rsidR="00266041" w:rsidRPr="00A872B8" w:rsidRDefault="00266041" w:rsidP="00266041">
      <w:pPr>
        <w:pStyle w:val="ListParagraph"/>
        <w:numPr>
          <w:ilvl w:val="0"/>
          <w:numId w:val="1"/>
        </w:numPr>
        <w:spacing w:after="0"/>
      </w:pPr>
      <w:r>
        <w:t>Upon admission or transfer from outside hospital</w:t>
      </w:r>
      <w:r w:rsidR="001849E0">
        <w:t>.</w:t>
      </w:r>
    </w:p>
    <w:p w14:paraId="3A5E7CAB" w14:textId="77777777" w:rsidR="00673A02" w:rsidRDefault="00673A02" w:rsidP="0054751D">
      <w:pPr>
        <w:spacing w:after="0"/>
        <w:rPr>
          <w:b/>
        </w:rPr>
      </w:pPr>
    </w:p>
    <w:p w14:paraId="55E16C55" w14:textId="77777777" w:rsidR="00CF4D4F" w:rsidRDefault="00CF4D4F" w:rsidP="0054751D">
      <w:pPr>
        <w:spacing w:after="0"/>
        <w:rPr>
          <w:b/>
        </w:rPr>
      </w:pPr>
      <w:r w:rsidRPr="00A872B8">
        <w:rPr>
          <w:b/>
        </w:rPr>
        <w:t xml:space="preserve">What can you do to improve </w:t>
      </w:r>
      <w:r w:rsidR="009A4C09" w:rsidRPr="00A872B8">
        <w:rPr>
          <w:b/>
        </w:rPr>
        <w:t>your practice</w:t>
      </w:r>
      <w:r w:rsidRPr="00A872B8">
        <w:rPr>
          <w:b/>
        </w:rPr>
        <w:t>?</w:t>
      </w:r>
    </w:p>
    <w:p w14:paraId="4405EC45" w14:textId="77777777" w:rsidR="001849E0" w:rsidRDefault="001849E0" w:rsidP="0054751D">
      <w:pPr>
        <w:spacing w:after="0"/>
        <w:rPr>
          <w:b/>
        </w:rPr>
      </w:pPr>
    </w:p>
    <w:p w14:paraId="3245E26B" w14:textId="63D06F98" w:rsidR="0054751D" w:rsidRPr="00A872B8" w:rsidRDefault="0047244C" w:rsidP="0054751D">
      <w:pPr>
        <w:spacing w:after="0"/>
      </w:pPr>
      <w:r>
        <w:t>Make it a habit to a</w:t>
      </w:r>
      <w:r w:rsidR="00CF4D4F" w:rsidRPr="00A872B8">
        <w:t xml:space="preserve">ssess </w:t>
      </w:r>
      <w:r>
        <w:t xml:space="preserve">your </w:t>
      </w:r>
      <w:r w:rsidR="009A4C09" w:rsidRPr="00A872B8">
        <w:t>p</w:t>
      </w:r>
      <w:r>
        <w:t>atient’s</w:t>
      </w:r>
      <w:r w:rsidR="00CF4D4F" w:rsidRPr="00A872B8">
        <w:t xml:space="preserve"> signs and symptoms</w:t>
      </w:r>
      <w:r w:rsidR="009A4C09" w:rsidRPr="00A872B8">
        <w:t xml:space="preserve"> before ordering urine</w:t>
      </w:r>
      <w:r w:rsidR="00956F35">
        <w:t xml:space="preserve"> </w:t>
      </w:r>
      <w:r w:rsidR="009A4C09" w:rsidRPr="00A872B8">
        <w:t>cultures</w:t>
      </w:r>
      <w:r w:rsidR="0054751D" w:rsidRPr="00A872B8">
        <w:t>.</w:t>
      </w:r>
      <w:r>
        <w:t xml:space="preserve"> If you think a culture may not be indic</w:t>
      </w:r>
      <w:r w:rsidR="00454D94">
        <w:t>ated, let the prescriber know; c</w:t>
      </w:r>
      <w:r>
        <w:t xml:space="preserve">ultures should be tailored based on clinical findings. </w:t>
      </w:r>
    </w:p>
    <w:p w14:paraId="3E0BE40F" w14:textId="77777777" w:rsidR="00053DC8" w:rsidRDefault="00053DC8" w:rsidP="00504F3F">
      <w:pPr>
        <w:spacing w:after="0"/>
        <w:rPr>
          <w:szCs w:val="18"/>
        </w:rPr>
      </w:pPr>
    </w:p>
    <w:p w14:paraId="6938EE56" w14:textId="77777777" w:rsidR="00A85386" w:rsidRPr="00A872B8" w:rsidRDefault="00A85386" w:rsidP="00A85386">
      <w:pPr>
        <w:spacing w:after="0"/>
      </w:pPr>
      <w:r>
        <w:t xml:space="preserve">Please feel free to share this with your team and let us know if there are questions regarding the report or algorithms. We would be happy to discuss specific cases.   </w:t>
      </w:r>
    </w:p>
    <w:p w14:paraId="481C3FBE" w14:textId="77777777" w:rsidR="00A85386" w:rsidRDefault="00A85386" w:rsidP="00504F3F">
      <w:pPr>
        <w:spacing w:after="0"/>
        <w:rPr>
          <w:szCs w:val="18"/>
        </w:rPr>
      </w:pPr>
    </w:p>
    <w:p w14:paraId="7EC64871" w14:textId="77777777" w:rsidR="00504F3F" w:rsidRPr="00A872B8" w:rsidRDefault="000279BB" w:rsidP="00504F3F">
      <w:pPr>
        <w:spacing w:after="0"/>
        <w:rPr>
          <w:szCs w:val="18"/>
        </w:rPr>
      </w:pPr>
      <w:r w:rsidRPr="00A872B8">
        <w:rPr>
          <w:szCs w:val="18"/>
        </w:rPr>
        <w:t>Thank you</w:t>
      </w:r>
      <w:r w:rsidR="00053DC8">
        <w:rPr>
          <w:szCs w:val="18"/>
        </w:rPr>
        <w:t xml:space="preserve"> for your continued time and efforts</w:t>
      </w:r>
      <w:r w:rsidR="00454D94">
        <w:rPr>
          <w:szCs w:val="18"/>
        </w:rPr>
        <w:t xml:space="preserve"> on this initiative</w:t>
      </w:r>
      <w:r w:rsidRPr="00A872B8">
        <w:rPr>
          <w:szCs w:val="18"/>
        </w:rPr>
        <w:t>,</w:t>
      </w:r>
    </w:p>
    <w:p w14:paraId="17D610E3" w14:textId="0BA17BDF" w:rsidR="000279BB" w:rsidRPr="000279BB" w:rsidRDefault="000279BB" w:rsidP="00504F3F">
      <w:pPr>
        <w:spacing w:after="0"/>
        <w:rPr>
          <w:szCs w:val="18"/>
        </w:rPr>
      </w:pPr>
      <w:r w:rsidRPr="00A872B8">
        <w:rPr>
          <w:szCs w:val="18"/>
        </w:rPr>
        <w:t>[</w:t>
      </w:r>
      <w:r w:rsidR="00E30A8F">
        <w:rPr>
          <w:szCs w:val="18"/>
          <w:u w:val="single"/>
        </w:rPr>
        <w:t>ANTIMICROBIAL STEWARDSHIP PROGRAM</w:t>
      </w:r>
      <w:r w:rsidRPr="00A872B8">
        <w:rPr>
          <w:szCs w:val="18"/>
        </w:rPr>
        <w:t>]</w:t>
      </w:r>
    </w:p>
    <w:p w14:paraId="0A52956E" w14:textId="77777777" w:rsidR="000279BB" w:rsidRDefault="000279BB" w:rsidP="00504F3F">
      <w:pPr>
        <w:spacing w:after="0"/>
        <w:rPr>
          <w:sz w:val="18"/>
          <w:szCs w:val="18"/>
        </w:rPr>
      </w:pPr>
    </w:p>
    <w:p w14:paraId="1D3B62F2" w14:textId="77777777" w:rsidR="00454D94" w:rsidRDefault="00454D94" w:rsidP="00504F3F">
      <w:pPr>
        <w:spacing w:after="0"/>
        <w:rPr>
          <w:sz w:val="18"/>
          <w:szCs w:val="18"/>
        </w:rPr>
      </w:pPr>
    </w:p>
    <w:p w14:paraId="0A4FAA6B" w14:textId="77777777" w:rsidR="00454D94" w:rsidRDefault="00454D94" w:rsidP="00504F3F">
      <w:pPr>
        <w:spacing w:after="0"/>
        <w:rPr>
          <w:sz w:val="18"/>
          <w:szCs w:val="18"/>
        </w:rPr>
      </w:pPr>
    </w:p>
    <w:p w14:paraId="2D498FCE" w14:textId="77777777" w:rsidR="00454D94" w:rsidRDefault="00454D94" w:rsidP="00504F3F">
      <w:pPr>
        <w:spacing w:after="0"/>
        <w:rPr>
          <w:sz w:val="18"/>
          <w:szCs w:val="18"/>
        </w:rPr>
      </w:pPr>
    </w:p>
    <w:p w14:paraId="7A1EAFDE" w14:textId="77777777" w:rsidR="00504F3F" w:rsidRPr="00454D94" w:rsidRDefault="00504F3F" w:rsidP="00504F3F">
      <w:pPr>
        <w:spacing w:after="0"/>
        <w:rPr>
          <w:szCs w:val="18"/>
        </w:rPr>
      </w:pPr>
      <w:r w:rsidRPr="00454D94">
        <w:rPr>
          <w:szCs w:val="18"/>
        </w:rPr>
        <w:t>References:</w:t>
      </w:r>
    </w:p>
    <w:p w14:paraId="064DD648" w14:textId="77777777" w:rsidR="00504F3F" w:rsidRPr="00454D94" w:rsidRDefault="00504F3F" w:rsidP="00504F3F">
      <w:pPr>
        <w:numPr>
          <w:ilvl w:val="0"/>
          <w:numId w:val="1"/>
        </w:numPr>
        <w:spacing w:after="0" w:line="240" w:lineRule="auto"/>
        <w:rPr>
          <w:rFonts w:eastAsia="Times New Roman"/>
          <w:szCs w:val="18"/>
        </w:rPr>
      </w:pPr>
      <w:r w:rsidRPr="00454D94">
        <w:rPr>
          <w:rFonts w:eastAsia="Times New Roman"/>
          <w:szCs w:val="18"/>
        </w:rPr>
        <w:t xml:space="preserve">McKenzie R, Stewart MT, </w:t>
      </w:r>
      <w:proofErr w:type="spellStart"/>
      <w:r w:rsidRPr="00454D94">
        <w:rPr>
          <w:rFonts w:eastAsia="Times New Roman"/>
          <w:szCs w:val="18"/>
        </w:rPr>
        <w:t>Bellantoni</w:t>
      </w:r>
      <w:proofErr w:type="spellEnd"/>
      <w:r w:rsidRPr="00454D94">
        <w:rPr>
          <w:rFonts w:eastAsia="Times New Roman"/>
          <w:szCs w:val="18"/>
        </w:rPr>
        <w:t xml:space="preserve"> MF, et al. Bacteriuria in individuals who become delirious</w:t>
      </w:r>
      <w:r w:rsidRPr="00454D94">
        <w:rPr>
          <w:rFonts w:eastAsia="Times New Roman"/>
          <w:i/>
          <w:szCs w:val="18"/>
        </w:rPr>
        <w:t>. Am J Med</w:t>
      </w:r>
      <w:r w:rsidRPr="00454D94">
        <w:rPr>
          <w:rFonts w:eastAsia="Times New Roman"/>
          <w:szCs w:val="18"/>
        </w:rPr>
        <w:t>. 2014 Apr</w:t>
      </w:r>
      <w:proofErr w:type="gramStart"/>
      <w:r w:rsidRPr="00454D94">
        <w:rPr>
          <w:rFonts w:eastAsia="Times New Roman"/>
          <w:szCs w:val="18"/>
        </w:rPr>
        <w:t>;127</w:t>
      </w:r>
      <w:proofErr w:type="gramEnd"/>
      <w:r w:rsidRPr="00454D94">
        <w:rPr>
          <w:rFonts w:eastAsia="Times New Roman"/>
          <w:szCs w:val="18"/>
        </w:rPr>
        <w:t xml:space="preserve">(4):255-7. PMID: 24439075. </w:t>
      </w:r>
    </w:p>
    <w:p w14:paraId="73223ABB" w14:textId="77777777" w:rsidR="00504F3F" w:rsidRPr="00454D94" w:rsidRDefault="00504F3F" w:rsidP="00504F3F">
      <w:pPr>
        <w:numPr>
          <w:ilvl w:val="0"/>
          <w:numId w:val="1"/>
        </w:numPr>
        <w:spacing w:after="0" w:line="240" w:lineRule="auto"/>
        <w:rPr>
          <w:rFonts w:eastAsia="Times New Roman"/>
          <w:szCs w:val="18"/>
        </w:rPr>
      </w:pPr>
      <w:proofErr w:type="spellStart"/>
      <w:r w:rsidRPr="00454D94">
        <w:rPr>
          <w:rFonts w:eastAsia="Times New Roman"/>
          <w:szCs w:val="18"/>
          <w:lang w:val="es-UY"/>
        </w:rPr>
        <w:t>Boscia</w:t>
      </w:r>
      <w:proofErr w:type="spellEnd"/>
      <w:r w:rsidRPr="00454D94">
        <w:rPr>
          <w:rFonts w:eastAsia="Times New Roman"/>
          <w:szCs w:val="18"/>
          <w:lang w:val="es-UY"/>
        </w:rPr>
        <w:t xml:space="preserve"> JA, </w:t>
      </w:r>
      <w:proofErr w:type="spellStart"/>
      <w:r w:rsidRPr="00454D94">
        <w:rPr>
          <w:rFonts w:eastAsia="Times New Roman"/>
          <w:szCs w:val="18"/>
          <w:lang w:val="es-UY"/>
        </w:rPr>
        <w:t>Kobasa</w:t>
      </w:r>
      <w:proofErr w:type="spellEnd"/>
      <w:r w:rsidRPr="00454D94">
        <w:rPr>
          <w:rFonts w:eastAsia="Times New Roman"/>
          <w:szCs w:val="18"/>
          <w:lang w:val="es-UY"/>
        </w:rPr>
        <w:t xml:space="preserve"> WD, </w:t>
      </w:r>
      <w:proofErr w:type="spellStart"/>
      <w:r w:rsidRPr="00454D94">
        <w:rPr>
          <w:rFonts w:eastAsia="Times New Roman"/>
          <w:szCs w:val="18"/>
          <w:lang w:val="es-UY"/>
        </w:rPr>
        <w:t>Abrutyn</w:t>
      </w:r>
      <w:proofErr w:type="spellEnd"/>
      <w:r w:rsidRPr="00454D94">
        <w:rPr>
          <w:rFonts w:eastAsia="Times New Roman"/>
          <w:szCs w:val="18"/>
          <w:lang w:val="es-UY"/>
        </w:rPr>
        <w:t xml:space="preserve"> E, et al. </w:t>
      </w:r>
      <w:r w:rsidRPr="00454D94">
        <w:rPr>
          <w:rFonts w:eastAsia="Times New Roman"/>
          <w:szCs w:val="18"/>
        </w:rPr>
        <w:t>Lack of association between bacteriuria and symptoms in the elderly</w:t>
      </w:r>
      <w:r w:rsidRPr="00454D94">
        <w:rPr>
          <w:rFonts w:eastAsia="Times New Roman"/>
          <w:i/>
          <w:szCs w:val="18"/>
        </w:rPr>
        <w:t>. Am J Med</w:t>
      </w:r>
      <w:r w:rsidRPr="00454D94">
        <w:rPr>
          <w:rFonts w:eastAsia="Times New Roman"/>
          <w:szCs w:val="18"/>
        </w:rPr>
        <w:t>. 1986 Dec</w:t>
      </w:r>
      <w:proofErr w:type="gramStart"/>
      <w:r w:rsidRPr="00454D94">
        <w:rPr>
          <w:rFonts w:eastAsia="Times New Roman"/>
          <w:szCs w:val="18"/>
        </w:rPr>
        <w:t>;81</w:t>
      </w:r>
      <w:proofErr w:type="gramEnd"/>
      <w:r w:rsidRPr="00454D94">
        <w:rPr>
          <w:rFonts w:eastAsia="Times New Roman"/>
          <w:szCs w:val="18"/>
        </w:rPr>
        <w:t xml:space="preserve">(6):979-82. PMID: 3799658. </w:t>
      </w:r>
    </w:p>
    <w:p w14:paraId="03340914" w14:textId="77777777" w:rsidR="00504F3F" w:rsidRPr="00454D94" w:rsidRDefault="00504F3F" w:rsidP="00504F3F">
      <w:pPr>
        <w:numPr>
          <w:ilvl w:val="0"/>
          <w:numId w:val="1"/>
        </w:numPr>
        <w:spacing w:after="0" w:line="240" w:lineRule="auto"/>
        <w:rPr>
          <w:rFonts w:eastAsia="Times New Roman"/>
          <w:szCs w:val="18"/>
        </w:rPr>
      </w:pPr>
      <w:r w:rsidRPr="00454D94">
        <w:rPr>
          <w:rFonts w:eastAsia="Times New Roman"/>
          <w:szCs w:val="18"/>
        </w:rPr>
        <w:t>Nicolle LE, Bentley DW, Garibaldi R, et al. Antimicrobial use in long-term-care facilities. SHEA Long-Term-Care Committee</w:t>
      </w:r>
      <w:r w:rsidRPr="00454D94">
        <w:rPr>
          <w:rFonts w:eastAsia="Times New Roman"/>
          <w:i/>
          <w:szCs w:val="18"/>
        </w:rPr>
        <w:t xml:space="preserve">. Infect Control </w:t>
      </w:r>
      <w:proofErr w:type="spellStart"/>
      <w:r w:rsidRPr="00454D94">
        <w:rPr>
          <w:rFonts w:eastAsia="Times New Roman"/>
          <w:i/>
          <w:szCs w:val="18"/>
        </w:rPr>
        <w:t>Hosp</w:t>
      </w:r>
      <w:proofErr w:type="spellEnd"/>
      <w:r w:rsidRPr="00454D94">
        <w:rPr>
          <w:rFonts w:eastAsia="Times New Roman"/>
          <w:i/>
          <w:szCs w:val="18"/>
        </w:rPr>
        <w:t xml:space="preserve"> </w:t>
      </w:r>
      <w:proofErr w:type="spellStart"/>
      <w:r w:rsidRPr="00454D94">
        <w:rPr>
          <w:rFonts w:eastAsia="Times New Roman"/>
          <w:i/>
          <w:szCs w:val="18"/>
        </w:rPr>
        <w:t>Epidemiol</w:t>
      </w:r>
      <w:proofErr w:type="spellEnd"/>
      <w:r w:rsidRPr="00454D94">
        <w:rPr>
          <w:rFonts w:eastAsia="Times New Roman"/>
          <w:szCs w:val="18"/>
        </w:rPr>
        <w:t>. 2000 Aug</w:t>
      </w:r>
      <w:proofErr w:type="gramStart"/>
      <w:r w:rsidRPr="00454D94">
        <w:rPr>
          <w:rFonts w:eastAsia="Times New Roman"/>
          <w:szCs w:val="18"/>
        </w:rPr>
        <w:t>;21</w:t>
      </w:r>
      <w:proofErr w:type="gramEnd"/>
      <w:r w:rsidRPr="00454D94">
        <w:rPr>
          <w:rFonts w:eastAsia="Times New Roman"/>
          <w:szCs w:val="18"/>
        </w:rPr>
        <w:t>(8):537-45. PMID: 10968724.</w:t>
      </w:r>
    </w:p>
    <w:p w14:paraId="7E4D0287" w14:textId="77777777" w:rsidR="00504F3F" w:rsidRPr="00454D94" w:rsidRDefault="00EA183D" w:rsidP="00EA183D">
      <w:pPr>
        <w:numPr>
          <w:ilvl w:val="0"/>
          <w:numId w:val="1"/>
        </w:numPr>
        <w:spacing w:after="0" w:line="240" w:lineRule="auto"/>
        <w:rPr>
          <w:rFonts w:eastAsia="Times New Roman"/>
          <w:szCs w:val="18"/>
        </w:rPr>
      </w:pPr>
      <w:proofErr w:type="spellStart"/>
      <w:r w:rsidRPr="00454D94">
        <w:rPr>
          <w:rFonts w:eastAsia="Times New Roman"/>
          <w:szCs w:val="18"/>
          <w:lang w:val="es-UY"/>
        </w:rPr>
        <w:t>Nicolle</w:t>
      </w:r>
      <w:proofErr w:type="spellEnd"/>
      <w:r w:rsidRPr="00454D94">
        <w:rPr>
          <w:rFonts w:eastAsia="Times New Roman"/>
          <w:szCs w:val="18"/>
          <w:lang w:val="es-UY"/>
        </w:rPr>
        <w:t xml:space="preserve"> LE, </w:t>
      </w:r>
      <w:proofErr w:type="spellStart"/>
      <w:r w:rsidRPr="00454D94">
        <w:rPr>
          <w:rFonts w:eastAsia="Times New Roman"/>
          <w:szCs w:val="18"/>
          <w:lang w:val="es-UY"/>
        </w:rPr>
        <w:t>Gupta</w:t>
      </w:r>
      <w:proofErr w:type="spellEnd"/>
      <w:r w:rsidRPr="00454D94">
        <w:rPr>
          <w:rFonts w:eastAsia="Times New Roman"/>
          <w:szCs w:val="18"/>
          <w:lang w:val="es-UY"/>
        </w:rPr>
        <w:t xml:space="preserve"> K, Bradley SF, et al.</w:t>
      </w:r>
      <w:r w:rsidRPr="00454D94">
        <w:rPr>
          <w:sz w:val="28"/>
          <w:lang w:val="es-UY"/>
        </w:rPr>
        <w:t xml:space="preserve"> </w:t>
      </w:r>
      <w:r w:rsidRPr="00454D94">
        <w:rPr>
          <w:rFonts w:eastAsia="Times New Roman"/>
          <w:szCs w:val="18"/>
        </w:rPr>
        <w:t xml:space="preserve">Clinical Practice Guideline for the Management of Asymptomatic Bacteriuria: 2019 Update by the Infectious Diseases Society of America. </w:t>
      </w:r>
      <w:r w:rsidRPr="00454D94">
        <w:rPr>
          <w:rFonts w:eastAsia="Times New Roman"/>
          <w:i/>
          <w:szCs w:val="18"/>
        </w:rPr>
        <w:t>Clinical Infectious Diseases</w:t>
      </w:r>
      <w:r w:rsidRPr="00454D94">
        <w:rPr>
          <w:rFonts w:eastAsia="Times New Roman"/>
          <w:szCs w:val="18"/>
        </w:rPr>
        <w:t>. 2019 Mar</w:t>
      </w:r>
      <w:proofErr w:type="gramStart"/>
      <w:r w:rsidRPr="00454D94">
        <w:rPr>
          <w:rFonts w:eastAsia="Times New Roman"/>
          <w:szCs w:val="18"/>
        </w:rPr>
        <w:t>:1</w:t>
      </w:r>
      <w:proofErr w:type="gramEnd"/>
      <w:r w:rsidRPr="00454D94">
        <w:rPr>
          <w:rFonts w:eastAsia="Times New Roman"/>
          <w:szCs w:val="18"/>
        </w:rPr>
        <w:t>-28. PMID: 30895288.</w:t>
      </w:r>
    </w:p>
    <w:sectPr w:rsidR="00504F3F" w:rsidRPr="00454D94" w:rsidSect="00504F3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DDA84" w14:textId="77777777" w:rsidR="00222AFD" w:rsidRDefault="00222AFD" w:rsidP="006322B2">
      <w:pPr>
        <w:spacing w:after="0" w:line="240" w:lineRule="auto"/>
      </w:pPr>
      <w:r>
        <w:separator/>
      </w:r>
    </w:p>
  </w:endnote>
  <w:endnote w:type="continuationSeparator" w:id="0">
    <w:p w14:paraId="480F8B37" w14:textId="77777777" w:rsidR="00222AFD" w:rsidRDefault="00222AFD" w:rsidP="0063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617CE" w14:textId="77777777" w:rsidR="00222AFD" w:rsidRDefault="00222AFD" w:rsidP="006322B2">
      <w:pPr>
        <w:spacing w:after="0" w:line="240" w:lineRule="auto"/>
      </w:pPr>
      <w:r>
        <w:separator/>
      </w:r>
    </w:p>
  </w:footnote>
  <w:footnote w:type="continuationSeparator" w:id="0">
    <w:p w14:paraId="1A9DC28C" w14:textId="77777777" w:rsidR="00222AFD" w:rsidRDefault="00222AFD" w:rsidP="0063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D0C9" w14:textId="6869E25D" w:rsidR="00673A02" w:rsidRDefault="00E30A8F" w:rsidP="00E30A8F">
    <w:pPr>
      <w:pStyle w:val="Header"/>
      <w:rPr>
        <w:color w:val="002060"/>
        <w:sz w:val="20"/>
        <w:szCs w:val="20"/>
      </w:rPr>
    </w:pPr>
    <w:r w:rsidRPr="00DD6AB6">
      <w:rPr>
        <w:rFonts w:eastAsia="Calibri"/>
        <w:noProof/>
      </w:rPr>
      <w:drawing>
        <wp:anchor distT="0" distB="0" distL="114300" distR="114300" simplePos="0" relativeHeight="251659264" behindDoc="1" locked="0" layoutInCell="1" allowOverlap="1" wp14:anchorId="1E680832" wp14:editId="180F33B8">
          <wp:simplePos x="0" y="0"/>
          <wp:positionH relativeFrom="margin">
            <wp:align>right</wp:align>
          </wp:positionH>
          <wp:positionV relativeFrom="paragraph">
            <wp:posOffset>-352425</wp:posOffset>
          </wp:positionV>
          <wp:extent cx="847725" cy="939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939165"/>
                  </a:xfrm>
                  <a:prstGeom prst="rect">
                    <a:avLst/>
                  </a:prstGeom>
                  <a:noFill/>
                </pic:spPr>
              </pic:pic>
            </a:graphicData>
          </a:graphic>
          <wp14:sizeRelH relativeFrom="margin">
            <wp14:pctWidth>0</wp14:pctWidth>
          </wp14:sizeRelH>
          <wp14:sizeRelV relativeFrom="margin">
            <wp14:pctHeight>0</wp14:pctHeight>
          </wp14:sizeRelV>
        </wp:anchor>
      </w:drawing>
    </w:r>
    <w:r w:rsidRPr="00103267">
      <w:rPr>
        <w:b/>
        <w:smallCaps/>
        <w:sz w:val="32"/>
      </w:rPr>
      <w:t>Nurses Take Antibiotic Stewardship Action Initiative</w:t>
    </w:r>
  </w:p>
  <w:p w14:paraId="411DFE00" w14:textId="77777777" w:rsidR="00E30A8F" w:rsidRPr="00E30A8F" w:rsidRDefault="00E30A8F" w:rsidP="00E30A8F">
    <w:pPr>
      <w:pStyle w:val="Header"/>
      <w:rPr>
        <w:color w:val="002060"/>
        <w:sz w:val="20"/>
        <w:szCs w:val="20"/>
      </w:rPr>
    </w:pPr>
  </w:p>
  <w:p w14:paraId="2D2B83C4" w14:textId="77777777" w:rsidR="00986741" w:rsidRPr="00673A02" w:rsidRDefault="00986741" w:rsidP="0067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476E"/>
    <w:multiLevelType w:val="hybridMultilevel"/>
    <w:tmpl w:val="2D90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60848"/>
    <w:multiLevelType w:val="hybridMultilevel"/>
    <w:tmpl w:val="DC544232"/>
    <w:lvl w:ilvl="0" w:tplc="E1B2FA2E">
      <w:start w:val="15"/>
      <w:numFmt w:val="decimal"/>
      <w:lvlText w:val="%1."/>
      <w:lvlJc w:val="left"/>
      <w:pPr>
        <w:tabs>
          <w:tab w:val="num" w:pos="720"/>
        </w:tabs>
        <w:ind w:left="720" w:hanging="360"/>
      </w:pPr>
    </w:lvl>
    <w:lvl w:ilvl="1" w:tplc="54827F1E">
      <w:start w:val="1"/>
      <w:numFmt w:val="decimal"/>
      <w:lvlText w:val="%2."/>
      <w:lvlJc w:val="left"/>
      <w:pPr>
        <w:tabs>
          <w:tab w:val="num" w:pos="1440"/>
        </w:tabs>
        <w:ind w:left="1440" w:hanging="360"/>
      </w:pPr>
    </w:lvl>
    <w:lvl w:ilvl="2" w:tplc="3D10DCF8">
      <w:start w:val="1"/>
      <w:numFmt w:val="decimal"/>
      <w:lvlText w:val="%3."/>
      <w:lvlJc w:val="left"/>
      <w:pPr>
        <w:tabs>
          <w:tab w:val="num" w:pos="2160"/>
        </w:tabs>
        <w:ind w:left="2160" w:hanging="360"/>
      </w:pPr>
    </w:lvl>
    <w:lvl w:ilvl="3" w:tplc="A9E2BF72">
      <w:start w:val="1"/>
      <w:numFmt w:val="decimal"/>
      <w:lvlText w:val="%4."/>
      <w:lvlJc w:val="left"/>
      <w:pPr>
        <w:tabs>
          <w:tab w:val="num" w:pos="2880"/>
        </w:tabs>
        <w:ind w:left="2880" w:hanging="360"/>
      </w:pPr>
    </w:lvl>
    <w:lvl w:ilvl="4" w:tplc="101677FE">
      <w:start w:val="1"/>
      <w:numFmt w:val="decimal"/>
      <w:lvlText w:val="%5."/>
      <w:lvlJc w:val="left"/>
      <w:pPr>
        <w:tabs>
          <w:tab w:val="num" w:pos="3600"/>
        </w:tabs>
        <w:ind w:left="3600" w:hanging="360"/>
      </w:pPr>
    </w:lvl>
    <w:lvl w:ilvl="5" w:tplc="C8B2FA64">
      <w:start w:val="1"/>
      <w:numFmt w:val="decimal"/>
      <w:lvlText w:val="%6."/>
      <w:lvlJc w:val="left"/>
      <w:pPr>
        <w:tabs>
          <w:tab w:val="num" w:pos="4320"/>
        </w:tabs>
        <w:ind w:left="4320" w:hanging="360"/>
      </w:pPr>
    </w:lvl>
    <w:lvl w:ilvl="6" w:tplc="6D2E1294">
      <w:start w:val="1"/>
      <w:numFmt w:val="decimal"/>
      <w:lvlText w:val="%7."/>
      <w:lvlJc w:val="left"/>
      <w:pPr>
        <w:tabs>
          <w:tab w:val="num" w:pos="5040"/>
        </w:tabs>
        <w:ind w:left="5040" w:hanging="360"/>
      </w:pPr>
    </w:lvl>
    <w:lvl w:ilvl="7" w:tplc="379E353C">
      <w:start w:val="1"/>
      <w:numFmt w:val="decimal"/>
      <w:lvlText w:val="%8."/>
      <w:lvlJc w:val="left"/>
      <w:pPr>
        <w:tabs>
          <w:tab w:val="num" w:pos="5760"/>
        </w:tabs>
        <w:ind w:left="5760" w:hanging="360"/>
      </w:pPr>
    </w:lvl>
    <w:lvl w:ilvl="8" w:tplc="92E2795C">
      <w:start w:val="1"/>
      <w:numFmt w:val="decimal"/>
      <w:lvlText w:val="%9."/>
      <w:lvlJc w:val="left"/>
      <w:pPr>
        <w:tabs>
          <w:tab w:val="num" w:pos="6480"/>
        </w:tabs>
        <w:ind w:left="6480" w:hanging="360"/>
      </w:pPr>
    </w:lvl>
  </w:abstractNum>
  <w:abstractNum w:abstractNumId="2" w15:restartNumberingAfterBreak="0">
    <w:nsid w:val="7480150D"/>
    <w:multiLevelType w:val="hybridMultilevel"/>
    <w:tmpl w:val="7130C3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792F518D"/>
    <w:multiLevelType w:val="hybridMultilevel"/>
    <w:tmpl w:val="C7EC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Y"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4E"/>
    <w:rsid w:val="000279BB"/>
    <w:rsid w:val="000346A4"/>
    <w:rsid w:val="00053DC8"/>
    <w:rsid w:val="000774BD"/>
    <w:rsid w:val="001849E0"/>
    <w:rsid w:val="001B1131"/>
    <w:rsid w:val="001E1256"/>
    <w:rsid w:val="00222AFD"/>
    <w:rsid w:val="002505D7"/>
    <w:rsid w:val="00266041"/>
    <w:rsid w:val="002A5F42"/>
    <w:rsid w:val="002D31AD"/>
    <w:rsid w:val="00454D94"/>
    <w:rsid w:val="0047244C"/>
    <w:rsid w:val="00504F3F"/>
    <w:rsid w:val="0054751D"/>
    <w:rsid w:val="0059321A"/>
    <w:rsid w:val="005F7F3F"/>
    <w:rsid w:val="00611D46"/>
    <w:rsid w:val="006322B2"/>
    <w:rsid w:val="006526D4"/>
    <w:rsid w:val="006602CC"/>
    <w:rsid w:val="00673A02"/>
    <w:rsid w:val="006D764E"/>
    <w:rsid w:val="008D020A"/>
    <w:rsid w:val="00956F35"/>
    <w:rsid w:val="00986741"/>
    <w:rsid w:val="00996C07"/>
    <w:rsid w:val="009A4C09"/>
    <w:rsid w:val="009B18CA"/>
    <w:rsid w:val="00A227C9"/>
    <w:rsid w:val="00A65623"/>
    <w:rsid w:val="00A85386"/>
    <w:rsid w:val="00A872B8"/>
    <w:rsid w:val="00AB70B7"/>
    <w:rsid w:val="00AC2057"/>
    <w:rsid w:val="00AF4E55"/>
    <w:rsid w:val="00B24444"/>
    <w:rsid w:val="00B71B60"/>
    <w:rsid w:val="00BF08BC"/>
    <w:rsid w:val="00C0323E"/>
    <w:rsid w:val="00C33E11"/>
    <w:rsid w:val="00CF4C51"/>
    <w:rsid w:val="00CF4D4F"/>
    <w:rsid w:val="00E20D5E"/>
    <w:rsid w:val="00E30A8F"/>
    <w:rsid w:val="00E356CC"/>
    <w:rsid w:val="00E66815"/>
    <w:rsid w:val="00EA183D"/>
    <w:rsid w:val="00FA3350"/>
    <w:rsid w:val="00FD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848C0"/>
  <w15:chartTrackingRefBased/>
  <w15:docId w15:val="{005B703A-737A-486C-BFFE-21C2244F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681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CC"/>
    <w:pPr>
      <w:ind w:left="720"/>
      <w:contextualSpacing/>
    </w:pPr>
  </w:style>
  <w:style w:type="paragraph" w:styleId="Header">
    <w:name w:val="header"/>
    <w:basedOn w:val="Normal"/>
    <w:link w:val="HeaderChar"/>
    <w:uiPriority w:val="99"/>
    <w:unhideWhenUsed/>
    <w:rsid w:val="0063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B2"/>
  </w:style>
  <w:style w:type="paragraph" w:styleId="Footer">
    <w:name w:val="footer"/>
    <w:basedOn w:val="Normal"/>
    <w:link w:val="FooterChar"/>
    <w:uiPriority w:val="99"/>
    <w:unhideWhenUsed/>
    <w:rsid w:val="0063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B2"/>
  </w:style>
  <w:style w:type="character" w:customStyle="1" w:styleId="Heading1Char">
    <w:name w:val="Heading 1 Char"/>
    <w:basedOn w:val="DefaultParagraphFont"/>
    <w:link w:val="Heading1"/>
    <w:uiPriority w:val="9"/>
    <w:rsid w:val="00E66815"/>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8D020A"/>
    <w:rPr>
      <w:smallCaps/>
      <w:color w:val="5A5A5A" w:themeColor="text1" w:themeTint="A5"/>
    </w:rPr>
  </w:style>
  <w:style w:type="character" w:styleId="CommentReference">
    <w:name w:val="annotation reference"/>
    <w:basedOn w:val="DefaultParagraphFont"/>
    <w:uiPriority w:val="99"/>
    <w:semiHidden/>
    <w:unhideWhenUsed/>
    <w:rsid w:val="00956F35"/>
    <w:rPr>
      <w:sz w:val="16"/>
      <w:szCs w:val="16"/>
    </w:rPr>
  </w:style>
  <w:style w:type="paragraph" w:styleId="CommentText">
    <w:name w:val="annotation text"/>
    <w:basedOn w:val="Normal"/>
    <w:link w:val="CommentTextChar"/>
    <w:uiPriority w:val="99"/>
    <w:semiHidden/>
    <w:unhideWhenUsed/>
    <w:rsid w:val="00956F35"/>
    <w:pPr>
      <w:spacing w:line="240" w:lineRule="auto"/>
    </w:pPr>
    <w:rPr>
      <w:sz w:val="20"/>
      <w:szCs w:val="20"/>
    </w:rPr>
  </w:style>
  <w:style w:type="character" w:customStyle="1" w:styleId="CommentTextChar">
    <w:name w:val="Comment Text Char"/>
    <w:basedOn w:val="DefaultParagraphFont"/>
    <w:link w:val="CommentText"/>
    <w:uiPriority w:val="99"/>
    <w:semiHidden/>
    <w:rsid w:val="00956F35"/>
    <w:rPr>
      <w:sz w:val="20"/>
      <w:szCs w:val="20"/>
    </w:rPr>
  </w:style>
  <w:style w:type="paragraph" w:styleId="CommentSubject">
    <w:name w:val="annotation subject"/>
    <w:basedOn w:val="CommentText"/>
    <w:next w:val="CommentText"/>
    <w:link w:val="CommentSubjectChar"/>
    <w:uiPriority w:val="99"/>
    <w:semiHidden/>
    <w:unhideWhenUsed/>
    <w:rsid w:val="00956F35"/>
    <w:rPr>
      <w:b/>
      <w:bCs/>
    </w:rPr>
  </w:style>
  <w:style w:type="character" w:customStyle="1" w:styleId="CommentSubjectChar">
    <w:name w:val="Comment Subject Char"/>
    <w:basedOn w:val="CommentTextChar"/>
    <w:link w:val="CommentSubject"/>
    <w:uiPriority w:val="99"/>
    <w:semiHidden/>
    <w:rsid w:val="00956F35"/>
    <w:rPr>
      <w:b/>
      <w:bCs/>
      <w:sz w:val="20"/>
      <w:szCs w:val="20"/>
    </w:rPr>
  </w:style>
  <w:style w:type="paragraph" w:styleId="BalloonText">
    <w:name w:val="Balloon Text"/>
    <w:basedOn w:val="Normal"/>
    <w:link w:val="BalloonTextChar"/>
    <w:uiPriority w:val="99"/>
    <w:semiHidden/>
    <w:unhideWhenUsed/>
    <w:rsid w:val="0095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35"/>
    <w:rPr>
      <w:rFonts w:ascii="Segoe UI" w:hAnsi="Segoe UI" w:cs="Segoe UI"/>
      <w:sz w:val="18"/>
      <w:szCs w:val="18"/>
    </w:rPr>
  </w:style>
  <w:style w:type="paragraph" w:styleId="Revision">
    <w:name w:val="Revision"/>
    <w:hidden/>
    <w:uiPriority w:val="99"/>
    <w:semiHidden/>
    <w:rsid w:val="00E3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841">
      <w:bodyDiv w:val="1"/>
      <w:marLeft w:val="0"/>
      <w:marRight w:val="0"/>
      <w:marTop w:val="0"/>
      <w:marBottom w:val="0"/>
      <w:divBdr>
        <w:top w:val="none" w:sz="0" w:space="0" w:color="auto"/>
        <w:left w:val="none" w:sz="0" w:space="0" w:color="auto"/>
        <w:bottom w:val="none" w:sz="0" w:space="0" w:color="auto"/>
        <w:right w:val="none" w:sz="0" w:space="0" w:color="auto"/>
      </w:divBdr>
    </w:div>
    <w:div w:id="478615933">
      <w:bodyDiv w:val="1"/>
      <w:marLeft w:val="0"/>
      <w:marRight w:val="0"/>
      <w:marTop w:val="0"/>
      <w:marBottom w:val="0"/>
      <w:divBdr>
        <w:top w:val="none" w:sz="0" w:space="0" w:color="auto"/>
        <w:left w:val="none" w:sz="0" w:space="0" w:color="auto"/>
        <w:bottom w:val="none" w:sz="0" w:space="0" w:color="auto"/>
        <w:right w:val="none" w:sz="0" w:space="0" w:color="auto"/>
      </w:divBdr>
      <w:divsChild>
        <w:div w:id="161087565">
          <w:marLeft w:val="0"/>
          <w:marRight w:val="1"/>
          <w:marTop w:val="0"/>
          <w:marBottom w:val="0"/>
          <w:divBdr>
            <w:top w:val="none" w:sz="0" w:space="0" w:color="auto"/>
            <w:left w:val="none" w:sz="0" w:space="0" w:color="auto"/>
            <w:bottom w:val="none" w:sz="0" w:space="0" w:color="auto"/>
            <w:right w:val="none" w:sz="0" w:space="0" w:color="auto"/>
          </w:divBdr>
          <w:divsChild>
            <w:div w:id="242421404">
              <w:marLeft w:val="0"/>
              <w:marRight w:val="0"/>
              <w:marTop w:val="0"/>
              <w:marBottom w:val="0"/>
              <w:divBdr>
                <w:top w:val="none" w:sz="0" w:space="0" w:color="auto"/>
                <w:left w:val="none" w:sz="0" w:space="0" w:color="auto"/>
                <w:bottom w:val="none" w:sz="0" w:space="0" w:color="auto"/>
                <w:right w:val="none" w:sz="0" w:space="0" w:color="auto"/>
              </w:divBdr>
              <w:divsChild>
                <w:div w:id="389034792">
                  <w:marLeft w:val="0"/>
                  <w:marRight w:val="1"/>
                  <w:marTop w:val="0"/>
                  <w:marBottom w:val="0"/>
                  <w:divBdr>
                    <w:top w:val="none" w:sz="0" w:space="0" w:color="auto"/>
                    <w:left w:val="none" w:sz="0" w:space="0" w:color="auto"/>
                    <w:bottom w:val="none" w:sz="0" w:space="0" w:color="auto"/>
                    <w:right w:val="none" w:sz="0" w:space="0" w:color="auto"/>
                  </w:divBdr>
                  <w:divsChild>
                    <w:div w:id="479808828">
                      <w:marLeft w:val="0"/>
                      <w:marRight w:val="0"/>
                      <w:marTop w:val="0"/>
                      <w:marBottom w:val="0"/>
                      <w:divBdr>
                        <w:top w:val="none" w:sz="0" w:space="0" w:color="auto"/>
                        <w:left w:val="none" w:sz="0" w:space="0" w:color="auto"/>
                        <w:bottom w:val="none" w:sz="0" w:space="0" w:color="auto"/>
                        <w:right w:val="none" w:sz="0" w:space="0" w:color="auto"/>
                      </w:divBdr>
                      <w:divsChild>
                        <w:div w:id="1164316207">
                          <w:marLeft w:val="0"/>
                          <w:marRight w:val="0"/>
                          <w:marTop w:val="0"/>
                          <w:marBottom w:val="0"/>
                          <w:divBdr>
                            <w:top w:val="none" w:sz="0" w:space="0" w:color="auto"/>
                            <w:left w:val="none" w:sz="0" w:space="0" w:color="auto"/>
                            <w:bottom w:val="none" w:sz="0" w:space="0" w:color="auto"/>
                            <w:right w:val="none" w:sz="0" w:space="0" w:color="auto"/>
                          </w:divBdr>
                          <w:divsChild>
                            <w:div w:id="1264725257">
                              <w:marLeft w:val="0"/>
                              <w:marRight w:val="0"/>
                              <w:marTop w:val="120"/>
                              <w:marBottom w:val="360"/>
                              <w:divBdr>
                                <w:top w:val="none" w:sz="0" w:space="0" w:color="auto"/>
                                <w:left w:val="none" w:sz="0" w:space="0" w:color="auto"/>
                                <w:bottom w:val="none" w:sz="0" w:space="0" w:color="auto"/>
                                <w:right w:val="none" w:sz="0" w:space="0" w:color="auto"/>
                              </w:divBdr>
                              <w:divsChild>
                                <w:div w:id="1690909575">
                                  <w:marLeft w:val="0"/>
                                  <w:marRight w:val="0"/>
                                  <w:marTop w:val="0"/>
                                  <w:marBottom w:val="0"/>
                                  <w:divBdr>
                                    <w:top w:val="none" w:sz="0" w:space="0" w:color="auto"/>
                                    <w:left w:val="none" w:sz="0" w:space="0" w:color="auto"/>
                                    <w:bottom w:val="none" w:sz="0" w:space="0" w:color="auto"/>
                                    <w:right w:val="none" w:sz="0" w:space="0" w:color="auto"/>
                                  </w:divBdr>
                                  <w:divsChild>
                                    <w:div w:id="14223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Valeria Fabre</dc:creator>
  <cp:keywords/>
  <dc:description/>
  <cp:lastModifiedBy>Alejandra Salinas</cp:lastModifiedBy>
  <cp:revision>5</cp:revision>
  <dcterms:created xsi:type="dcterms:W3CDTF">2019-11-12T18:28:00Z</dcterms:created>
  <dcterms:modified xsi:type="dcterms:W3CDTF">2019-11-19T20:21:00Z</dcterms:modified>
</cp:coreProperties>
</file>