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00E1C" w14:textId="14CB2CEE" w:rsidR="00376E36" w:rsidRPr="00302579" w:rsidRDefault="00977F95" w:rsidP="00376E36">
      <w:pPr>
        <w:jc w:val="center"/>
        <w:rPr>
          <w:b/>
          <w:u w:val="single"/>
        </w:rPr>
      </w:pPr>
      <w:r w:rsidRPr="00302579">
        <w:rPr>
          <w:b/>
          <w:u w:val="single"/>
        </w:rPr>
        <w:t>Understanding Site Onboarding</w:t>
      </w:r>
      <w:r w:rsidR="000B1914" w:rsidRPr="00302579">
        <w:rPr>
          <w:b/>
          <w:u w:val="single"/>
        </w:rPr>
        <w:t>:</w:t>
      </w:r>
      <w:r w:rsidRPr="00302579">
        <w:rPr>
          <w:b/>
          <w:u w:val="single"/>
        </w:rPr>
        <w:t xml:space="preserve"> What </w:t>
      </w:r>
      <w:r w:rsidR="00D04767" w:rsidRPr="00302579">
        <w:rPr>
          <w:b/>
          <w:u w:val="single"/>
        </w:rPr>
        <w:t>H</w:t>
      </w:r>
      <w:r w:rsidRPr="00302579">
        <w:rPr>
          <w:b/>
          <w:u w:val="single"/>
        </w:rPr>
        <w:t xml:space="preserve">appens Before/After the Local Context Review </w:t>
      </w:r>
      <w:proofErr w:type="gramStart"/>
      <w:r w:rsidRPr="00302579">
        <w:rPr>
          <w:b/>
          <w:u w:val="single"/>
        </w:rPr>
        <w:t>Process</w:t>
      </w:r>
      <w:proofErr w:type="gramEnd"/>
    </w:p>
    <w:p w14:paraId="4D276F00" w14:textId="77777777" w:rsidR="00977F95" w:rsidRPr="00302579" w:rsidRDefault="00977F95" w:rsidP="00D04767">
      <w:pPr>
        <w:rPr>
          <w:b/>
          <w:i/>
          <w:u w:val="single"/>
        </w:rPr>
      </w:pPr>
      <w:r w:rsidRPr="00302579">
        <w:rPr>
          <w:b/>
          <w:i/>
          <w:u w:val="single"/>
        </w:rPr>
        <w:t>What is a local context review and why is it required?</w:t>
      </w:r>
    </w:p>
    <w:p w14:paraId="2D59736F" w14:textId="1FF76E1F" w:rsidR="00C55E79" w:rsidRPr="00302579" w:rsidRDefault="00C55E79" w:rsidP="00C55E79">
      <w:r w:rsidRPr="00302579">
        <w:t xml:space="preserve">A local context review is a </w:t>
      </w:r>
      <w:r w:rsidRPr="00302579">
        <w:rPr>
          <w:bCs/>
        </w:rPr>
        <w:t xml:space="preserve">study-specific review </w:t>
      </w:r>
      <w:r w:rsidRPr="00302579">
        <w:t xml:space="preserve">that needs to occur at the local site. This includes </w:t>
      </w:r>
      <w:r w:rsidRPr="00302579">
        <w:rPr>
          <w:bCs/>
        </w:rPr>
        <w:t>verification</w:t>
      </w:r>
      <w:r w:rsidRPr="00302579">
        <w:t xml:space="preserve"> that the site-specific information </w:t>
      </w:r>
      <w:proofErr w:type="gramStart"/>
      <w:r w:rsidRPr="00302579">
        <w:t>is incorporated</w:t>
      </w:r>
      <w:proofErr w:type="gramEnd"/>
      <w:r w:rsidRPr="00302579">
        <w:t xml:space="preserve"> appropriately for the site </w:t>
      </w:r>
      <w:r w:rsidR="001135B9" w:rsidRPr="00302579">
        <w:t>in applicable</w:t>
      </w:r>
      <w:r w:rsidRPr="00302579">
        <w:t xml:space="preserve"> </w:t>
      </w:r>
      <w:r w:rsidR="001135B9" w:rsidRPr="00302579">
        <w:t>study</w:t>
      </w:r>
      <w:r w:rsidRPr="00302579">
        <w:t xml:space="preserve"> documents. </w:t>
      </w:r>
      <w:proofErr w:type="gramStart"/>
      <w:r w:rsidRPr="00302579">
        <w:t xml:space="preserve">It also </w:t>
      </w:r>
      <w:r w:rsidR="001135B9" w:rsidRPr="00302579">
        <w:t xml:space="preserve">is the process through which </w:t>
      </w:r>
      <w:r w:rsidRPr="00302579">
        <w:t xml:space="preserve">the relying site </w:t>
      </w:r>
      <w:r w:rsidR="001135B9" w:rsidRPr="00302579">
        <w:rPr>
          <w:bCs/>
        </w:rPr>
        <w:t>verifies it has performed its relying site</w:t>
      </w:r>
      <w:r w:rsidRPr="00302579">
        <w:rPr>
          <w:bCs/>
        </w:rPr>
        <w:t xml:space="preserve"> responsibilities </w:t>
      </w:r>
      <w:r w:rsidRPr="00302579">
        <w:t>as outlined in the reliance agreement.</w:t>
      </w:r>
      <w:proofErr w:type="gramEnd"/>
    </w:p>
    <w:p w14:paraId="5BAE3F57" w14:textId="77777777" w:rsidR="00C55E79" w:rsidRPr="00302579" w:rsidRDefault="00C55E79" w:rsidP="00C55E79">
      <w:r w:rsidRPr="00302579">
        <w:t xml:space="preserve">This generally includes study-specific confirmation of </w:t>
      </w:r>
    </w:p>
    <w:p w14:paraId="629AC9DC" w14:textId="77777777" w:rsidR="00C55E79" w:rsidRPr="00302579" w:rsidRDefault="00154154" w:rsidP="00C55E79">
      <w:pPr>
        <w:numPr>
          <w:ilvl w:val="0"/>
          <w:numId w:val="5"/>
        </w:numPr>
      </w:pPr>
      <w:r w:rsidRPr="00302579">
        <w:t xml:space="preserve">COI, </w:t>
      </w:r>
    </w:p>
    <w:p w14:paraId="6F8C326D" w14:textId="48E05E9F" w:rsidR="006B4318" w:rsidRPr="00302579" w:rsidRDefault="00154154" w:rsidP="00C55E79">
      <w:pPr>
        <w:numPr>
          <w:ilvl w:val="0"/>
          <w:numId w:val="5"/>
        </w:numPr>
      </w:pPr>
      <w:r w:rsidRPr="00302579">
        <w:t xml:space="preserve">training/qualifications of local research staff, </w:t>
      </w:r>
    </w:p>
    <w:p w14:paraId="70776114" w14:textId="77777777" w:rsidR="006B4318" w:rsidRPr="00302579" w:rsidRDefault="00154154" w:rsidP="00C55E79">
      <w:pPr>
        <w:numPr>
          <w:ilvl w:val="0"/>
          <w:numId w:val="5"/>
        </w:numPr>
      </w:pPr>
      <w:r w:rsidRPr="00302579">
        <w:t xml:space="preserve">ancillary reviews, </w:t>
      </w:r>
    </w:p>
    <w:p w14:paraId="2ED4223F" w14:textId="773520EB" w:rsidR="006B4318" w:rsidRPr="00302579" w:rsidRDefault="00154154" w:rsidP="00C55E79">
      <w:pPr>
        <w:numPr>
          <w:ilvl w:val="0"/>
          <w:numId w:val="5"/>
        </w:numPr>
      </w:pPr>
      <w:r w:rsidRPr="00302579">
        <w:t>application of local laws and policies</w:t>
      </w:r>
    </w:p>
    <w:p w14:paraId="20680EA8" w14:textId="2DBDE9B8" w:rsidR="00FB3E99" w:rsidRPr="00302579" w:rsidRDefault="004952B8">
      <w:r w:rsidRPr="00302579">
        <w:t xml:space="preserve">Sites are required to confirm that their site’s local context review is complete before onboarding can begin. </w:t>
      </w:r>
    </w:p>
    <w:p w14:paraId="594A6207" w14:textId="31F70054" w:rsidR="00376E36" w:rsidRPr="00302579" w:rsidRDefault="00376E36">
      <w:pPr>
        <w:rPr>
          <w:b/>
          <w:i/>
          <w:u w:val="single"/>
        </w:rPr>
      </w:pPr>
      <w:r w:rsidRPr="00302579">
        <w:rPr>
          <w:b/>
          <w:i/>
          <w:u w:val="single"/>
        </w:rPr>
        <w:t xml:space="preserve">What information does </w:t>
      </w:r>
      <w:r w:rsidR="00FB3E99" w:rsidRPr="00302579">
        <w:rPr>
          <w:b/>
          <w:i/>
          <w:u w:val="single"/>
        </w:rPr>
        <w:t xml:space="preserve">the </w:t>
      </w:r>
      <w:r w:rsidRPr="00302579">
        <w:rPr>
          <w:b/>
          <w:i/>
          <w:u w:val="single"/>
        </w:rPr>
        <w:t>JHM IRB collect from participa</w:t>
      </w:r>
      <w:r w:rsidR="00977F95" w:rsidRPr="00302579">
        <w:rPr>
          <w:b/>
          <w:i/>
          <w:u w:val="single"/>
        </w:rPr>
        <w:t>ting</w:t>
      </w:r>
      <w:r w:rsidRPr="00302579">
        <w:rPr>
          <w:b/>
          <w:i/>
          <w:u w:val="single"/>
        </w:rPr>
        <w:t xml:space="preserve"> sites</w:t>
      </w:r>
      <w:r w:rsidR="00977F95" w:rsidRPr="00302579">
        <w:rPr>
          <w:b/>
          <w:i/>
          <w:u w:val="single"/>
        </w:rPr>
        <w:t xml:space="preserve"> as part of the local context review process</w:t>
      </w:r>
      <w:r w:rsidRPr="00302579">
        <w:rPr>
          <w:b/>
          <w:i/>
          <w:u w:val="single"/>
        </w:rPr>
        <w:t>?</w:t>
      </w:r>
    </w:p>
    <w:p w14:paraId="159F7B97" w14:textId="77777777" w:rsidR="007E0040" w:rsidRPr="00302579" w:rsidRDefault="00DE55EE" w:rsidP="00376E36">
      <w:pPr>
        <w:numPr>
          <w:ilvl w:val="0"/>
          <w:numId w:val="1"/>
        </w:numPr>
      </w:pPr>
      <w:r w:rsidRPr="00302579">
        <w:t xml:space="preserve">Basic institutional information [site contacts, FWA #] </w:t>
      </w:r>
    </w:p>
    <w:p w14:paraId="2255098D" w14:textId="0EFE4519" w:rsidR="00977F95" w:rsidRPr="00302579" w:rsidRDefault="00977F95" w:rsidP="00376E36">
      <w:pPr>
        <w:numPr>
          <w:ilvl w:val="0"/>
          <w:numId w:val="1"/>
        </w:numPr>
      </w:pPr>
      <w:r w:rsidRPr="00302579">
        <w:t>Information about the r</w:t>
      </w:r>
      <w:r w:rsidR="00DE55EE" w:rsidRPr="00302579">
        <w:t xml:space="preserve">elying site study team </w:t>
      </w:r>
      <w:r w:rsidRPr="00302579">
        <w:t xml:space="preserve">including </w:t>
      </w:r>
      <w:r w:rsidR="00DE55EE" w:rsidRPr="00302579">
        <w:t xml:space="preserve">confirmation of completed local training; </w:t>
      </w:r>
      <w:r w:rsidRPr="00302579">
        <w:t>appropriate credentialing and qualifications to perform the research and confirmation as to whether any study team members have identified a conflict of interest</w:t>
      </w:r>
    </w:p>
    <w:p w14:paraId="335C3AD1" w14:textId="77777777" w:rsidR="00977F95" w:rsidRPr="00302579" w:rsidRDefault="00977F95" w:rsidP="00376E36">
      <w:pPr>
        <w:numPr>
          <w:ilvl w:val="0"/>
          <w:numId w:val="1"/>
        </w:numPr>
      </w:pPr>
      <w:r w:rsidRPr="00302579">
        <w:t>A description of any local requirements and associated required consent form language [as applicable]. Local requirements may stem from local state laws or institutional policy requirements</w:t>
      </w:r>
    </w:p>
    <w:p w14:paraId="74494089" w14:textId="77777777" w:rsidR="007E0040" w:rsidRPr="00302579" w:rsidRDefault="00977F95" w:rsidP="00376E36">
      <w:pPr>
        <w:numPr>
          <w:ilvl w:val="0"/>
          <w:numId w:val="1"/>
        </w:numPr>
      </w:pPr>
      <w:r w:rsidRPr="00302579">
        <w:t xml:space="preserve">Confirmation that all relevant locally required ancillary reviews </w:t>
      </w:r>
      <w:proofErr w:type="gramStart"/>
      <w:r w:rsidRPr="00302579">
        <w:t>have been completed</w:t>
      </w:r>
      <w:proofErr w:type="gramEnd"/>
      <w:r w:rsidRPr="00302579">
        <w:t xml:space="preserve"> and the outcome of these reviews, as applicable.  </w:t>
      </w:r>
    </w:p>
    <w:p w14:paraId="393DB517" w14:textId="77777777" w:rsidR="00977F95" w:rsidRPr="00302579" w:rsidRDefault="00977F95" w:rsidP="00376E36">
      <w:pPr>
        <w:numPr>
          <w:ilvl w:val="0"/>
          <w:numId w:val="1"/>
        </w:numPr>
      </w:pPr>
      <w:r w:rsidRPr="00302579">
        <w:t>Any unique local considerations [e.g. concerns relevant to your local community]</w:t>
      </w:r>
    </w:p>
    <w:p w14:paraId="0F590DCC" w14:textId="77777777" w:rsidR="00977F95" w:rsidRPr="00302579" w:rsidRDefault="00977F95" w:rsidP="00376E36">
      <w:pPr>
        <w:numPr>
          <w:ilvl w:val="0"/>
          <w:numId w:val="1"/>
        </w:numPr>
      </w:pPr>
      <w:r w:rsidRPr="00302579">
        <w:t>Information about how your site addresses select study-specific items [</w:t>
      </w:r>
      <w:proofErr w:type="gramStart"/>
      <w:r w:rsidRPr="00302579">
        <w:t>e.g.</w:t>
      </w:r>
      <w:proofErr w:type="gramEnd"/>
      <w:r w:rsidRPr="00302579">
        <w:t xml:space="preserve"> whether a procedure being performed through the study is standard of care at your site], etc. </w:t>
      </w:r>
    </w:p>
    <w:p w14:paraId="07D20F34" w14:textId="0BD53878" w:rsidR="00DE55EE" w:rsidRPr="00302579" w:rsidRDefault="00977F95">
      <w:pPr>
        <w:rPr>
          <w:b/>
          <w:i/>
          <w:u w:val="single"/>
        </w:rPr>
      </w:pPr>
      <w:r w:rsidRPr="00302579">
        <w:rPr>
          <w:b/>
          <w:i/>
          <w:u w:val="single"/>
        </w:rPr>
        <w:t xml:space="preserve">What tools does the JHM IRB to collect local context information from my </w:t>
      </w:r>
      <w:proofErr w:type="gramStart"/>
      <w:r w:rsidRPr="00302579">
        <w:rPr>
          <w:b/>
          <w:i/>
          <w:u w:val="single"/>
        </w:rPr>
        <w:t>site?</w:t>
      </w:r>
      <w:proofErr w:type="gramEnd"/>
    </w:p>
    <w:p w14:paraId="0DE40B6B" w14:textId="0A0F374B" w:rsidR="00043E51" w:rsidRPr="00302579" w:rsidRDefault="004952B8">
      <w:r w:rsidRPr="00302579">
        <w:rPr>
          <w:u w:val="single"/>
        </w:rPr>
        <w:t>Local Context Questionnaire [LCQ]</w:t>
      </w:r>
      <w:r w:rsidRPr="00302579">
        <w:t>: The LCQ</w:t>
      </w:r>
      <w:r w:rsidR="00FB3E99" w:rsidRPr="00302579">
        <w:t xml:space="preserve"> is a questionnaire that</w:t>
      </w:r>
      <w:r w:rsidRPr="00302579">
        <w:t xml:space="preserve"> helps the JHM IRB </w:t>
      </w:r>
      <w:r w:rsidR="00FB3E99" w:rsidRPr="00302579">
        <w:t>collect information about your site’s requirements including any</w:t>
      </w:r>
      <w:r w:rsidRPr="00302579">
        <w:t xml:space="preserve"> state or local laws, regulations, institutional policies, standards or other local factors relevant to the research </w:t>
      </w:r>
      <w:proofErr w:type="gramStart"/>
      <w:r w:rsidRPr="00302579">
        <w:t>being conducted</w:t>
      </w:r>
      <w:proofErr w:type="gramEnd"/>
      <w:r w:rsidRPr="00302579">
        <w:t xml:space="preserve"> at </w:t>
      </w:r>
      <w:r w:rsidR="005702AE" w:rsidRPr="00302579">
        <w:t>your</w:t>
      </w:r>
      <w:r w:rsidRPr="00302579">
        <w:t xml:space="preserve"> site. Completion of the LCQ should be a collaborative effort between the local PI/study team and </w:t>
      </w:r>
      <w:r w:rsidR="005702AE" w:rsidRPr="00302579">
        <w:t>your</w:t>
      </w:r>
      <w:r w:rsidRPr="00302579">
        <w:t xml:space="preserve"> site’s HRPP/Research Office/IRB.</w:t>
      </w:r>
    </w:p>
    <w:p w14:paraId="17294B38" w14:textId="189C4162" w:rsidR="004952B8" w:rsidRPr="00302579" w:rsidRDefault="004952B8" w:rsidP="00DF152A">
      <w:r w:rsidRPr="00302579">
        <w:rPr>
          <w:u w:val="single"/>
        </w:rPr>
        <w:lastRenderedPageBreak/>
        <w:t>Site-Specific Consent Information [SSCI] Template</w:t>
      </w:r>
      <w:r w:rsidRPr="00302579">
        <w:t xml:space="preserve">: </w:t>
      </w:r>
      <w:r w:rsidR="00DF152A" w:rsidRPr="00302579">
        <w:t xml:space="preserve">JHM IRB uses a two-part consent form process. The first part of the consent form [Master] includes information that applies to all study sites. The second part of the consent form [SSCI] includes information specific to the study site. </w:t>
      </w:r>
      <w:r w:rsidR="005702AE" w:rsidRPr="00302579">
        <w:t xml:space="preserve">The master template consent </w:t>
      </w:r>
      <w:proofErr w:type="gramStart"/>
      <w:r w:rsidR="005702AE" w:rsidRPr="00302579">
        <w:t>is being provided</w:t>
      </w:r>
      <w:proofErr w:type="gramEnd"/>
      <w:r w:rsidR="005702AE" w:rsidRPr="00302579">
        <w:t xml:space="preserve"> to facilitate your local context review only and is not approved for use to enroll subjects. The SSCI allows your site to provide </w:t>
      </w:r>
      <w:proofErr w:type="gramStart"/>
      <w:r w:rsidR="005702AE" w:rsidRPr="00302579">
        <w:t>institutionally-required</w:t>
      </w:r>
      <w:proofErr w:type="gramEnd"/>
      <w:r w:rsidR="005702AE" w:rsidRPr="00302579">
        <w:t xml:space="preserve"> consent form language [e.g., research injury language, HIPAA language, cost information, signature lines]. </w:t>
      </w:r>
      <w:proofErr w:type="gramStart"/>
      <w:r w:rsidR="005702AE" w:rsidRPr="00302579">
        <w:t>A site-specific consent form will be created by the JHM IRB using the approved master template consent form and the completed site-specific consent template your site provides</w:t>
      </w:r>
      <w:proofErr w:type="gramEnd"/>
      <w:r w:rsidR="005702AE" w:rsidRPr="00302579">
        <w:t>.</w:t>
      </w:r>
    </w:p>
    <w:p w14:paraId="209DED79" w14:textId="77777777" w:rsidR="00977F95" w:rsidRPr="00302579" w:rsidRDefault="00977F95">
      <w:pPr>
        <w:rPr>
          <w:b/>
          <w:i/>
          <w:u w:val="single"/>
        </w:rPr>
      </w:pPr>
      <w:r w:rsidRPr="00302579">
        <w:rPr>
          <w:b/>
          <w:i/>
          <w:u w:val="single"/>
        </w:rPr>
        <w:t xml:space="preserve">How do I prepare for the local context process at my site? </w:t>
      </w:r>
    </w:p>
    <w:p w14:paraId="65ABFB8B" w14:textId="29F0B541" w:rsidR="00977F95" w:rsidRPr="00302579" w:rsidRDefault="00977F95" w:rsidP="00977F95">
      <w:r w:rsidRPr="00302579">
        <w:rPr>
          <w:bCs/>
        </w:rPr>
        <w:t xml:space="preserve">You must first understand how “local context review” </w:t>
      </w:r>
      <w:proofErr w:type="gramStart"/>
      <w:r w:rsidRPr="00302579">
        <w:rPr>
          <w:bCs/>
        </w:rPr>
        <w:t>is operationalized</w:t>
      </w:r>
      <w:proofErr w:type="gramEnd"/>
      <w:r w:rsidRPr="00302579">
        <w:rPr>
          <w:bCs/>
        </w:rPr>
        <w:t xml:space="preserve"> at your institution.</w:t>
      </w:r>
      <w:r w:rsidR="005702AE" w:rsidRPr="00302579">
        <w:rPr>
          <w:bCs/>
        </w:rPr>
        <w:t xml:space="preserve"> We recommend that you first contact your IRB office or your SMART IRB Point of Contact [</w:t>
      </w:r>
      <w:hyperlink r:id="rId5" w:history="1">
        <w:r w:rsidR="005702AE" w:rsidRPr="00302579">
          <w:rPr>
            <w:rStyle w:val="Hyperlink"/>
          </w:rPr>
          <w:t>https://smartirb.org/participating-institutions/</w:t>
        </w:r>
      </w:hyperlink>
      <w:r w:rsidR="005702AE" w:rsidRPr="00302579">
        <w:rPr>
          <w:bCs/>
        </w:rPr>
        <w:t>]</w:t>
      </w:r>
      <w:r w:rsidR="00935883" w:rsidRPr="00302579">
        <w:rPr>
          <w:bCs/>
        </w:rPr>
        <w:t xml:space="preserve"> to understand your local site requirements</w:t>
      </w:r>
      <w:r w:rsidR="001A5314" w:rsidRPr="00302579">
        <w:rPr>
          <w:bCs/>
        </w:rPr>
        <w:t>.</w:t>
      </w:r>
      <w:r w:rsidR="00935883" w:rsidRPr="00302579">
        <w:rPr>
          <w:bCs/>
        </w:rPr>
        <w:t xml:space="preserve"> Important questions to ask include:</w:t>
      </w:r>
    </w:p>
    <w:p w14:paraId="11DDF35E" w14:textId="77777777" w:rsidR="00977F95" w:rsidRPr="00302579" w:rsidRDefault="00977F95" w:rsidP="00977F95">
      <w:pPr>
        <w:numPr>
          <w:ilvl w:val="0"/>
          <w:numId w:val="3"/>
        </w:numPr>
      </w:pPr>
      <w:r w:rsidRPr="00302579">
        <w:t xml:space="preserve">Who has the authority at the institution to review and “sign-off” on the local context review? </w:t>
      </w:r>
    </w:p>
    <w:p w14:paraId="0ACE17E5" w14:textId="4398CAD1" w:rsidR="00977F95" w:rsidRPr="00302579" w:rsidRDefault="00977F95" w:rsidP="00977F95">
      <w:pPr>
        <w:numPr>
          <w:ilvl w:val="0"/>
          <w:numId w:val="3"/>
        </w:numPr>
      </w:pPr>
      <w:r w:rsidRPr="00302579">
        <w:t xml:space="preserve">Is a formal submission to </w:t>
      </w:r>
      <w:r w:rsidR="00935883" w:rsidRPr="00302579">
        <w:t xml:space="preserve">your </w:t>
      </w:r>
      <w:r w:rsidRPr="00302579">
        <w:t xml:space="preserve">local IRB required? </w:t>
      </w:r>
    </w:p>
    <w:p w14:paraId="1F776F41" w14:textId="77777777" w:rsidR="00977F95" w:rsidRPr="00302579" w:rsidRDefault="00977F95" w:rsidP="00977F95">
      <w:pPr>
        <w:numPr>
          <w:ilvl w:val="0"/>
          <w:numId w:val="3"/>
        </w:numPr>
      </w:pPr>
      <w:r w:rsidRPr="00302579">
        <w:t xml:space="preserve">What study-specific documents </w:t>
      </w:r>
      <w:proofErr w:type="gramStart"/>
      <w:r w:rsidRPr="00302579">
        <w:t>must be submitted</w:t>
      </w:r>
      <w:proofErr w:type="gramEnd"/>
      <w:r w:rsidRPr="00302579">
        <w:t xml:space="preserve"> locally to have the review completed? </w:t>
      </w:r>
    </w:p>
    <w:p w14:paraId="7CFAF264" w14:textId="77777777" w:rsidR="00DE55EE" w:rsidRPr="00302579" w:rsidRDefault="00DE55EE">
      <w:pPr>
        <w:rPr>
          <w:b/>
          <w:i/>
          <w:u w:val="single"/>
        </w:rPr>
      </w:pPr>
      <w:r w:rsidRPr="00302579">
        <w:rPr>
          <w:b/>
          <w:i/>
          <w:u w:val="single"/>
        </w:rPr>
        <w:t xml:space="preserve">There are questions on the local context forms that I do not know how to answer. </w:t>
      </w:r>
      <w:proofErr w:type="gramStart"/>
      <w:r w:rsidRPr="00302579">
        <w:rPr>
          <w:b/>
          <w:i/>
          <w:u w:val="single"/>
        </w:rPr>
        <w:t>Who</w:t>
      </w:r>
      <w:proofErr w:type="gramEnd"/>
      <w:r w:rsidRPr="00302579">
        <w:rPr>
          <w:b/>
          <w:i/>
          <w:u w:val="single"/>
        </w:rPr>
        <w:t xml:space="preserve"> should I contact?</w:t>
      </w:r>
    </w:p>
    <w:p w14:paraId="5F305252" w14:textId="146766D7" w:rsidR="001A5314" w:rsidRPr="00302579" w:rsidRDefault="001A5314" w:rsidP="00DE55EE">
      <w:pPr>
        <w:rPr>
          <w:bCs/>
          <w:u w:val="single"/>
        </w:rPr>
      </w:pPr>
      <w:r w:rsidRPr="00302579">
        <w:t>Completion of the LCQ should be a collaborative effort between the local PI/study team and your site’s HRPP/Research Office/IRB. In addition to your site’s HRPP/Research Office/IRB, you can contact your coordinating center tea</w:t>
      </w:r>
      <w:r w:rsidR="00BD22DA" w:rsidRPr="00302579">
        <w:t>m or the JHM IRB reliance team [</w:t>
      </w:r>
      <w:hyperlink r:id="rId6" w:history="1">
        <w:r w:rsidR="00BD22DA" w:rsidRPr="00302579">
          <w:rPr>
            <w:rStyle w:val="Hyperlink"/>
          </w:rPr>
          <w:t>JHMIRBReliance@jhmi.edu</w:t>
        </w:r>
      </w:hyperlink>
      <w:r w:rsidR="00BD22DA" w:rsidRPr="00302579">
        <w:t xml:space="preserve">]. </w:t>
      </w:r>
    </w:p>
    <w:p w14:paraId="7A7D4B83" w14:textId="62EAA7B2" w:rsidR="00DE55EE" w:rsidRPr="00302579" w:rsidRDefault="00977F95" w:rsidP="00DE55EE">
      <w:pPr>
        <w:rPr>
          <w:b/>
          <w:i/>
          <w:u w:val="single"/>
        </w:rPr>
      </w:pPr>
      <w:r w:rsidRPr="00302579">
        <w:rPr>
          <w:b/>
          <w:bCs/>
          <w:i/>
          <w:u w:val="single"/>
        </w:rPr>
        <w:t>How do I know if my local context process is complete?</w:t>
      </w:r>
    </w:p>
    <w:p w14:paraId="6CAB1FF2" w14:textId="420D78AA" w:rsidR="007E0040" w:rsidRPr="00302579" w:rsidRDefault="00BD22DA" w:rsidP="00BD22DA">
      <w:r w:rsidRPr="00302579">
        <w:t>The LCQ</w:t>
      </w:r>
      <w:r w:rsidR="00DE55EE" w:rsidRPr="00302579">
        <w:t xml:space="preserve"> </w:t>
      </w:r>
      <w:proofErr w:type="gramStart"/>
      <w:r w:rsidR="00DE55EE" w:rsidRPr="00302579">
        <w:t>must be signed</w:t>
      </w:r>
      <w:proofErr w:type="gramEnd"/>
      <w:r w:rsidR="00DE55EE" w:rsidRPr="00302579">
        <w:t xml:space="preserve"> by local site PI </w:t>
      </w:r>
      <w:r w:rsidR="00DE55EE" w:rsidRPr="00302579">
        <w:rPr>
          <w:bCs/>
        </w:rPr>
        <w:t>AND</w:t>
      </w:r>
      <w:r w:rsidR="00DE55EE" w:rsidRPr="00302579">
        <w:t xml:space="preserve"> </w:t>
      </w:r>
      <w:r w:rsidR="00935883" w:rsidRPr="00302579">
        <w:t xml:space="preserve">the </w:t>
      </w:r>
      <w:r w:rsidR="00DE55EE" w:rsidRPr="00302579">
        <w:t xml:space="preserve">institutional representative designated to verify local laws, policies, etc. </w:t>
      </w:r>
      <w:r w:rsidRPr="00302579">
        <w:t xml:space="preserve">The LCQ must be complete and signed before submission to JHM IRB for review. If there are any pending ancillary reviews or if study team member training </w:t>
      </w:r>
      <w:proofErr w:type="gramStart"/>
      <w:r w:rsidRPr="00302579">
        <w:t>has not been completed</w:t>
      </w:r>
      <w:proofErr w:type="gramEnd"/>
      <w:r w:rsidRPr="00302579">
        <w:t xml:space="preserve">, local context review is not complete. </w:t>
      </w:r>
      <w:r w:rsidRPr="00302579">
        <w:rPr>
          <w:rFonts w:cstheme="minorHAnsi"/>
        </w:rPr>
        <w:t>Please be as careful as possible in completing this questionnaire so that the document does not need to be re-signed.</w:t>
      </w:r>
    </w:p>
    <w:p w14:paraId="13679194" w14:textId="77777777" w:rsidR="00DE55EE" w:rsidRPr="00302579" w:rsidRDefault="00DE55EE">
      <w:pPr>
        <w:rPr>
          <w:b/>
          <w:i/>
          <w:u w:val="single"/>
        </w:rPr>
      </w:pPr>
      <w:proofErr w:type="gramStart"/>
      <w:r w:rsidRPr="00302579">
        <w:rPr>
          <w:b/>
          <w:i/>
          <w:u w:val="single"/>
        </w:rPr>
        <w:t>I’ve</w:t>
      </w:r>
      <w:proofErr w:type="gramEnd"/>
      <w:r w:rsidRPr="00302579">
        <w:rPr>
          <w:b/>
          <w:i/>
          <w:u w:val="single"/>
        </w:rPr>
        <w:t xml:space="preserve"> received my site approval documents</w:t>
      </w:r>
      <w:r w:rsidR="00977F95" w:rsidRPr="00302579">
        <w:rPr>
          <w:b/>
          <w:i/>
          <w:u w:val="single"/>
        </w:rPr>
        <w:t xml:space="preserve"> from the JHM IRB</w:t>
      </w:r>
      <w:r w:rsidRPr="00302579">
        <w:rPr>
          <w:b/>
          <w:i/>
          <w:u w:val="single"/>
        </w:rPr>
        <w:t>. Is there anything else I need to do before research can begin?</w:t>
      </w:r>
    </w:p>
    <w:p w14:paraId="0748A1BA" w14:textId="37AFB3EB" w:rsidR="007E0040" w:rsidRPr="00302579" w:rsidRDefault="001A5314" w:rsidP="00DE55EE">
      <w:r w:rsidRPr="00302579">
        <w:t>You</w:t>
      </w:r>
      <w:r w:rsidR="00DE55EE" w:rsidRPr="00302579">
        <w:t xml:space="preserve"> </w:t>
      </w:r>
      <w:r w:rsidRPr="00302579">
        <w:t xml:space="preserve">should check with your local IRB/research office to determine what information </w:t>
      </w:r>
      <w:r w:rsidR="00DE55EE" w:rsidRPr="00302579">
        <w:t xml:space="preserve">may require receipt BEFORE your site </w:t>
      </w:r>
      <w:proofErr w:type="gramStart"/>
      <w:r w:rsidR="00DE55EE" w:rsidRPr="00302579">
        <w:t>can be activated</w:t>
      </w:r>
      <w:proofErr w:type="gramEnd"/>
      <w:r w:rsidR="00DE55EE" w:rsidRPr="00302579">
        <w:t xml:space="preserve"> locally.</w:t>
      </w:r>
      <w:r w:rsidRPr="00302579">
        <w:t xml:space="preserve"> For example, your site may require receipt of the JHM IRB stamped consent form for use at your site and approval letter noting your site </w:t>
      </w:r>
      <w:proofErr w:type="gramStart"/>
      <w:r w:rsidRPr="00302579">
        <w:t>has been formally approved</w:t>
      </w:r>
      <w:proofErr w:type="gramEnd"/>
      <w:r w:rsidRPr="00302579">
        <w:t xml:space="preserve"> as a site.</w:t>
      </w:r>
    </w:p>
    <w:p w14:paraId="74958D20" w14:textId="77777777" w:rsidR="00977F95" w:rsidRPr="00302579" w:rsidRDefault="00977F95" w:rsidP="00DE55EE">
      <w:pPr>
        <w:rPr>
          <w:b/>
          <w:i/>
          <w:u w:val="single"/>
        </w:rPr>
      </w:pPr>
      <w:r w:rsidRPr="00302579">
        <w:rPr>
          <w:b/>
          <w:i/>
          <w:u w:val="single"/>
        </w:rPr>
        <w:t xml:space="preserve">Once my site </w:t>
      </w:r>
      <w:proofErr w:type="gramStart"/>
      <w:r w:rsidRPr="00302579">
        <w:rPr>
          <w:b/>
          <w:i/>
          <w:u w:val="single"/>
        </w:rPr>
        <w:t>has been activated</w:t>
      </w:r>
      <w:proofErr w:type="gramEnd"/>
      <w:r w:rsidRPr="00302579">
        <w:rPr>
          <w:b/>
          <w:i/>
          <w:u w:val="single"/>
        </w:rPr>
        <w:t xml:space="preserve">, do I have to continue to communicate with my local IRB? </w:t>
      </w:r>
    </w:p>
    <w:p w14:paraId="2853E788" w14:textId="24872DFB" w:rsidR="007E0040" w:rsidRPr="00302579" w:rsidRDefault="00DE55EE" w:rsidP="00DE55EE">
      <w:r w:rsidRPr="00302579">
        <w:t>Participating sites should check with their IRB/organization about the types of items that will require “local” review during the life of the study</w:t>
      </w:r>
      <w:r w:rsidR="00935883" w:rsidRPr="00302579">
        <w:t>. Even when relying on an external IRB many organizations require that se</w:t>
      </w:r>
      <w:r w:rsidR="00236532" w:rsidRPr="00302579">
        <w:t xml:space="preserve">lect submissions </w:t>
      </w:r>
      <w:proofErr w:type="gramStart"/>
      <w:r w:rsidR="00236532" w:rsidRPr="00302579">
        <w:t>be reported</w:t>
      </w:r>
      <w:proofErr w:type="gramEnd"/>
      <w:r w:rsidR="00236532" w:rsidRPr="00302579">
        <w:t xml:space="preserve"> locally throughout the study. Examples may include a) </w:t>
      </w:r>
      <w:r w:rsidR="00236532" w:rsidRPr="00302579">
        <w:lastRenderedPageBreak/>
        <w:t xml:space="preserve">changes that may trigger a local ancillary review, b) study team changes, c) complaints from subjects enrolled at the site, etc. Investigators relying on the JHM IRB </w:t>
      </w:r>
      <w:proofErr w:type="gramStart"/>
      <w:r w:rsidR="00236532" w:rsidRPr="00302579">
        <w:t>are expected</w:t>
      </w:r>
      <w:proofErr w:type="gramEnd"/>
      <w:r w:rsidR="00236532" w:rsidRPr="00302579">
        <w:t xml:space="preserve"> to be knowledgeable about their local site requirements. </w:t>
      </w:r>
    </w:p>
    <w:p w14:paraId="0B246523" w14:textId="52E7A8FB" w:rsidR="00703C99" w:rsidRPr="00302579" w:rsidRDefault="00703C99" w:rsidP="00703C99">
      <w:pPr>
        <w:rPr>
          <w:b/>
          <w:i/>
          <w:u w:val="single"/>
        </w:rPr>
      </w:pPr>
      <w:r w:rsidRPr="00302579">
        <w:rPr>
          <w:b/>
          <w:i/>
          <w:u w:val="single"/>
        </w:rPr>
        <w:t xml:space="preserve">What </w:t>
      </w:r>
      <w:r>
        <w:rPr>
          <w:b/>
          <w:i/>
          <w:u w:val="single"/>
        </w:rPr>
        <w:t>JHM IRB policies should my site review and follow in supporting the ongoing local context process?</w:t>
      </w:r>
    </w:p>
    <w:p w14:paraId="00687441" w14:textId="160EC43A" w:rsidR="00703C99" w:rsidRDefault="005D3BE0" w:rsidP="00C55E79">
      <w:r>
        <w:t xml:space="preserve">JHM IRB policies </w:t>
      </w:r>
      <w:proofErr w:type="gramStart"/>
      <w:r>
        <w:t>can be found</w:t>
      </w:r>
      <w:proofErr w:type="gramEnd"/>
      <w:r>
        <w:t xml:space="preserve"> here: </w:t>
      </w:r>
      <w:hyperlink r:id="rId7" w:history="1">
        <w:r>
          <w:rPr>
            <w:rStyle w:val="Hyperlink"/>
          </w:rPr>
          <w:t>https://www.hopkinsmedicine.org/institutional_review_board/guidelines_policies/organization_policies/index.html</w:t>
        </w:r>
      </w:hyperlink>
    </w:p>
    <w:p w14:paraId="1E8D1CD9" w14:textId="77777777" w:rsidR="00EF45AC" w:rsidRDefault="005D3BE0" w:rsidP="00C55E79">
      <w:r>
        <w:t xml:space="preserve">Key JHM IRB policies, such as the </w:t>
      </w:r>
      <w:hyperlink r:id="rId8" w:history="1">
        <w:r w:rsidRPr="005D3BE0">
          <w:rPr>
            <w:rStyle w:val="Hyperlink"/>
          </w:rPr>
          <w:t>Organizational Policy on Prompt Reporting of Reportable Events</w:t>
        </w:r>
      </w:hyperlink>
      <w:r>
        <w:t xml:space="preserve">, </w:t>
      </w:r>
      <w:proofErr w:type="gramStart"/>
      <w:r>
        <w:t>must be followed</w:t>
      </w:r>
      <w:proofErr w:type="gramEnd"/>
      <w:r>
        <w:t xml:space="preserve"> by participating sites. In this example, </w:t>
      </w:r>
      <w:r w:rsidRPr="005D3BE0">
        <w:t xml:space="preserve">JHM reporting timelines </w:t>
      </w:r>
      <w:proofErr w:type="gramStart"/>
      <w:r w:rsidRPr="005D3BE0">
        <w:t>should be followed</w:t>
      </w:r>
      <w:proofErr w:type="gramEnd"/>
      <w:r w:rsidRPr="005D3BE0">
        <w:t xml:space="preserve"> for reporting of these events to the JHM IRB</w:t>
      </w:r>
      <w:r w:rsidR="00EF45AC">
        <w:t xml:space="preserve"> in addition to any local reporting requirement that differ from JHM IRB </w:t>
      </w:r>
      <w:r w:rsidRPr="005D3BE0">
        <w:t>reporting timelines</w:t>
      </w:r>
      <w:r w:rsidR="00EF45AC">
        <w:t xml:space="preserve">. </w:t>
      </w:r>
    </w:p>
    <w:p w14:paraId="1FB49A80" w14:textId="758812C8" w:rsidR="00DE55EE" w:rsidRDefault="00EF45AC" w:rsidP="00C55E79">
      <w:r>
        <w:t>P</w:t>
      </w:r>
      <w:r w:rsidR="005D3BE0" w:rsidRPr="005D3BE0">
        <w:t xml:space="preserve">articipating site investigators </w:t>
      </w:r>
      <w:r w:rsidR="00703C99">
        <w:t xml:space="preserve">are still </w:t>
      </w:r>
      <w:r w:rsidR="00703C99" w:rsidRPr="00703C99">
        <w:t xml:space="preserve">responsible for adhering to institutional </w:t>
      </w:r>
      <w:r w:rsidR="005D3BE0">
        <w:t xml:space="preserve">and state law </w:t>
      </w:r>
      <w:r w:rsidR="00703C99">
        <w:t>requirements for their own site.</w:t>
      </w:r>
    </w:p>
    <w:p w14:paraId="1FEEBE9E" w14:textId="56C1D3F0" w:rsidR="00251DF3" w:rsidRDefault="00251DF3" w:rsidP="00251DF3">
      <w:pPr>
        <w:rPr>
          <w:b/>
          <w:i/>
          <w:u w:val="single"/>
        </w:rPr>
      </w:pPr>
      <w:r>
        <w:rPr>
          <w:b/>
          <w:i/>
          <w:u w:val="single"/>
        </w:rPr>
        <w:t>Can I access my study documents in the eIRB system?</w:t>
      </w:r>
    </w:p>
    <w:p w14:paraId="23A8FD93" w14:textId="6D5B6522" w:rsidR="00251DF3" w:rsidRDefault="00251DF3" w:rsidP="00251DF3">
      <w:proofErr w:type="gramStart"/>
      <w:r>
        <w:t>The JH PI/</w:t>
      </w:r>
      <w:r w:rsidRPr="00251DF3">
        <w:t>Overall PI</w:t>
      </w:r>
      <w:r>
        <w:t>/coordinating center</w:t>
      </w:r>
      <w:r w:rsidRPr="00251DF3">
        <w:t xml:space="preserve"> is primarily responsible for providing study and site approval documentation to </w:t>
      </w:r>
      <w:r>
        <w:t xml:space="preserve">participating sites; however, </w:t>
      </w:r>
      <w:r>
        <w:t xml:space="preserve">the </w:t>
      </w:r>
      <w:r>
        <w:t xml:space="preserve">participating </w:t>
      </w:r>
      <w:r>
        <w:t xml:space="preserve">site PI, site lead study contact and up to three additional </w:t>
      </w:r>
      <w:r>
        <w:t xml:space="preserve">site </w:t>
      </w:r>
      <w:r>
        <w:t xml:space="preserve">contacts </w:t>
      </w:r>
      <w:r w:rsidRPr="00251DF3">
        <w:t xml:space="preserve">may </w:t>
      </w:r>
      <w:r>
        <w:t xml:space="preserve">opt to </w:t>
      </w:r>
      <w:r w:rsidRPr="00251DF3">
        <w:t>have access to study approval and local context documents via the JHM electronic IRB system or an alternate electronic IRB reliance system.</w:t>
      </w:r>
      <w:proofErr w:type="gramEnd"/>
      <w:r>
        <w:t xml:space="preserve"> This </w:t>
      </w:r>
      <w:proofErr w:type="gramStart"/>
      <w:r>
        <w:t>is achieved</w:t>
      </w:r>
      <w:proofErr w:type="gramEnd"/>
      <w:r>
        <w:t xml:space="preserve"> by use of f</w:t>
      </w:r>
      <w:r w:rsidRPr="00251DF3">
        <w:t>ederated authent</w:t>
      </w:r>
      <w:bookmarkStart w:id="0" w:name="_GoBack"/>
      <w:bookmarkEnd w:id="0"/>
      <w:r w:rsidRPr="00251DF3">
        <w:t>ication or account provisioning</w:t>
      </w:r>
      <w:r>
        <w:t xml:space="preserve">. Please contact the </w:t>
      </w:r>
      <w:r>
        <w:t>JH PI/</w:t>
      </w:r>
      <w:r w:rsidRPr="00251DF3">
        <w:t>Overall PI</w:t>
      </w:r>
      <w:r>
        <w:t>/coordinating center</w:t>
      </w:r>
      <w:r>
        <w:t xml:space="preserve"> to determine whether access can or </w:t>
      </w:r>
      <w:proofErr w:type="gramStart"/>
      <w:r>
        <w:t>should be granted</w:t>
      </w:r>
      <w:proofErr w:type="gramEnd"/>
      <w:r>
        <w:t>.</w:t>
      </w:r>
    </w:p>
    <w:p w14:paraId="41222A69" w14:textId="29AB1748" w:rsidR="00251DF3" w:rsidRDefault="00251DF3" w:rsidP="00251DF3">
      <w:pPr>
        <w:rPr>
          <w:b/>
          <w:i/>
          <w:u w:val="single"/>
        </w:rPr>
      </w:pPr>
      <w:r>
        <w:rPr>
          <w:b/>
          <w:i/>
          <w:u w:val="single"/>
        </w:rPr>
        <w:t>How do I contact the JHM IRB reliance team?</w:t>
      </w:r>
    </w:p>
    <w:p w14:paraId="7379490C" w14:textId="4DAEDE20" w:rsidR="00251DF3" w:rsidRPr="00251DF3" w:rsidRDefault="00251DF3" w:rsidP="00251DF3">
      <w:r>
        <w:t xml:space="preserve">Please contact the JHM IRB Reliance Team at </w:t>
      </w:r>
      <w:hyperlink r:id="rId9" w:history="1">
        <w:r w:rsidRPr="00BC1378">
          <w:rPr>
            <w:rStyle w:val="Hyperlink"/>
          </w:rPr>
          <w:t>JHMIRBReliance@jhmi.edu</w:t>
        </w:r>
      </w:hyperlink>
      <w:r>
        <w:t xml:space="preserve"> with any questions.</w:t>
      </w:r>
    </w:p>
    <w:p w14:paraId="00458BA1" w14:textId="77777777" w:rsidR="00251DF3" w:rsidRPr="00302579" w:rsidRDefault="00251DF3" w:rsidP="00C55E79"/>
    <w:sectPr w:rsidR="00251DF3" w:rsidRPr="0030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A9F"/>
    <w:multiLevelType w:val="hybridMultilevel"/>
    <w:tmpl w:val="CC38FD40"/>
    <w:lvl w:ilvl="0" w:tplc="43AEF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40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72F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6C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27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6C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C6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A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8C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93D70"/>
    <w:multiLevelType w:val="hybridMultilevel"/>
    <w:tmpl w:val="8A821962"/>
    <w:lvl w:ilvl="0" w:tplc="447A68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866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0BA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8651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CD2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CC59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0CD5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AE5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07C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2549B0"/>
    <w:multiLevelType w:val="hybridMultilevel"/>
    <w:tmpl w:val="4AC60D8A"/>
    <w:lvl w:ilvl="0" w:tplc="C1161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81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CE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A3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89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84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4D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A3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46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E0137D"/>
    <w:multiLevelType w:val="hybridMultilevel"/>
    <w:tmpl w:val="C50E2252"/>
    <w:lvl w:ilvl="0" w:tplc="EF682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1E58AC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A7272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E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AA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4E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6B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84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C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737134"/>
    <w:multiLevelType w:val="hybridMultilevel"/>
    <w:tmpl w:val="40127F7A"/>
    <w:lvl w:ilvl="0" w:tplc="0C72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28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26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6C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E5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00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29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42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29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36"/>
    <w:rsid w:val="00043E51"/>
    <w:rsid w:val="000B1914"/>
    <w:rsid w:val="001135B9"/>
    <w:rsid w:val="00154154"/>
    <w:rsid w:val="001A5314"/>
    <w:rsid w:val="00236532"/>
    <w:rsid w:val="00251DF3"/>
    <w:rsid w:val="00302579"/>
    <w:rsid w:val="00376E36"/>
    <w:rsid w:val="004952B8"/>
    <w:rsid w:val="005702AE"/>
    <w:rsid w:val="005D3BE0"/>
    <w:rsid w:val="006B4318"/>
    <w:rsid w:val="00703C99"/>
    <w:rsid w:val="007E0040"/>
    <w:rsid w:val="00935883"/>
    <w:rsid w:val="00977F95"/>
    <w:rsid w:val="009D134A"/>
    <w:rsid w:val="00BB45E6"/>
    <w:rsid w:val="00BD22DA"/>
    <w:rsid w:val="00C55E79"/>
    <w:rsid w:val="00D04767"/>
    <w:rsid w:val="00DE55EE"/>
    <w:rsid w:val="00DF152A"/>
    <w:rsid w:val="00EF45AC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BB89"/>
  <w15:chartTrackingRefBased/>
  <w15:docId w15:val="{E26FBC7F-548D-4BFB-A764-83128C4C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F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0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66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0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0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40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8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27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3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7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3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6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48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8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5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3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pkinsmedicine.org/institutional_review_board/guidelines_policies/organization_policies/prompt_reporting_polic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pkinsmedicine.org/institutional_review_board/guidelines_policies/organization_polici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MIRBReliance@jhmi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martirb.org/participating-institution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HMIRBReliance@jh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6400</Characters>
  <Application>Microsoft Office Word</Application>
  <DocSecurity>0</DocSecurity>
  <Lines>266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Maddox-Regis</dc:creator>
  <cp:keywords/>
  <dc:description/>
  <cp:lastModifiedBy>Janelle Maddox-Regis</cp:lastModifiedBy>
  <cp:revision>2</cp:revision>
  <dcterms:created xsi:type="dcterms:W3CDTF">2020-09-10T18:43:00Z</dcterms:created>
  <dcterms:modified xsi:type="dcterms:W3CDTF">2020-09-10T18:43:00Z</dcterms:modified>
</cp:coreProperties>
</file>